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008A7" w14:textId="77777777" w:rsidR="00B276D9" w:rsidRPr="009F4B52" w:rsidRDefault="00B276D9" w:rsidP="00B276D9">
      <w:pPr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  <w:r w:rsidRPr="009F4B52">
        <w:rPr>
          <w:rFonts w:ascii="Arial" w:hAnsi="Arial" w:cs="Arial"/>
          <w:b/>
          <w:sz w:val="22"/>
          <w:szCs w:val="22"/>
          <w:highlight w:val="yellow"/>
        </w:rPr>
        <w:t>[ZADAVATEL, PŘÍPADNĚ ADMINISTRÁTOR DANÉ VZ]</w:t>
      </w:r>
    </w:p>
    <w:p w14:paraId="43E8A97D" w14:textId="77777777" w:rsidR="00B276D9" w:rsidRPr="009F4B52" w:rsidRDefault="00B276D9" w:rsidP="00B276D9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9F4B52">
        <w:rPr>
          <w:rFonts w:ascii="Arial" w:hAnsi="Arial" w:cs="Arial"/>
          <w:sz w:val="22"/>
          <w:szCs w:val="22"/>
          <w:highlight w:val="yellow"/>
        </w:rPr>
        <w:t>[ADRESA]</w:t>
      </w:r>
    </w:p>
    <w:p w14:paraId="4FBAEA70" w14:textId="77777777" w:rsidR="00B276D9" w:rsidRPr="009F4B52" w:rsidRDefault="00B276D9" w:rsidP="00B276D9">
      <w:pPr>
        <w:jc w:val="both"/>
        <w:rPr>
          <w:rFonts w:ascii="Arial" w:hAnsi="Arial" w:cs="Arial"/>
          <w:sz w:val="22"/>
          <w:szCs w:val="22"/>
        </w:rPr>
      </w:pPr>
      <w:r w:rsidRPr="009F4B52">
        <w:rPr>
          <w:rFonts w:ascii="Arial" w:hAnsi="Arial" w:cs="Arial"/>
          <w:sz w:val="22"/>
          <w:szCs w:val="22"/>
          <w:highlight w:val="yellow"/>
        </w:rPr>
        <w:t>[ADRESA]</w:t>
      </w:r>
    </w:p>
    <w:p w14:paraId="50C0B635" w14:textId="77777777" w:rsidR="00B276D9" w:rsidRPr="009F4B52" w:rsidRDefault="00B276D9" w:rsidP="00B276D9">
      <w:pPr>
        <w:jc w:val="both"/>
        <w:rPr>
          <w:rFonts w:ascii="Arial" w:hAnsi="Arial" w:cs="Arial"/>
          <w:sz w:val="22"/>
          <w:szCs w:val="22"/>
        </w:rPr>
      </w:pPr>
      <w:r w:rsidRPr="009F4B52">
        <w:rPr>
          <w:rFonts w:ascii="Arial" w:hAnsi="Arial" w:cs="Arial"/>
          <w:sz w:val="22"/>
          <w:szCs w:val="22"/>
        </w:rPr>
        <w:t>---------------------------------------------------</w:t>
      </w:r>
    </w:p>
    <w:p w14:paraId="0C1B0233" w14:textId="77777777" w:rsidR="00B276D9" w:rsidRPr="009F4B52" w:rsidRDefault="00B276D9" w:rsidP="00B276D9">
      <w:pPr>
        <w:jc w:val="both"/>
        <w:rPr>
          <w:rFonts w:ascii="Arial" w:hAnsi="Arial" w:cs="Arial"/>
          <w:sz w:val="22"/>
          <w:szCs w:val="22"/>
        </w:rPr>
      </w:pPr>
      <w:commentRangeStart w:id="1"/>
      <w:r w:rsidRPr="009F4B52">
        <w:rPr>
          <w:rFonts w:ascii="Arial" w:hAnsi="Arial" w:cs="Arial"/>
          <w:i/>
          <w:sz w:val="22"/>
          <w:szCs w:val="22"/>
        </w:rPr>
        <w:t xml:space="preserve">datovou schránkou: </w:t>
      </w:r>
      <w:r w:rsidRPr="009F4B52">
        <w:rPr>
          <w:rFonts w:ascii="Arial" w:hAnsi="Arial" w:cs="Arial"/>
          <w:sz w:val="22"/>
          <w:szCs w:val="22"/>
          <w:highlight w:val="yellow"/>
        </w:rPr>
        <w:t>[DOPLNIT ID DS]</w:t>
      </w:r>
    </w:p>
    <w:p w14:paraId="03300412" w14:textId="77777777" w:rsidR="00B276D9" w:rsidRPr="009F4B52" w:rsidRDefault="00B276D9" w:rsidP="00B276D9">
      <w:pPr>
        <w:jc w:val="both"/>
        <w:rPr>
          <w:rFonts w:ascii="Arial" w:hAnsi="Arial" w:cs="Arial"/>
          <w:i/>
          <w:sz w:val="22"/>
          <w:szCs w:val="22"/>
        </w:rPr>
      </w:pPr>
      <w:r w:rsidRPr="009F4B52">
        <w:rPr>
          <w:rFonts w:ascii="Arial" w:hAnsi="Arial" w:cs="Arial"/>
          <w:i/>
          <w:sz w:val="22"/>
          <w:szCs w:val="22"/>
        </w:rPr>
        <w:t>prostřednictvím profilu zadavatele</w:t>
      </w:r>
      <w:commentRangeEnd w:id="1"/>
      <w:r w:rsidRPr="009F4B52">
        <w:rPr>
          <w:rStyle w:val="Odkaznakoment"/>
          <w:sz w:val="22"/>
          <w:szCs w:val="22"/>
        </w:rPr>
        <w:commentReference w:id="1"/>
      </w:r>
    </w:p>
    <w:p w14:paraId="6418DA16" w14:textId="77777777" w:rsidR="00B276D9" w:rsidRPr="009F4B52" w:rsidRDefault="00B276D9" w:rsidP="00B276D9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8737D00" w14:textId="77777777" w:rsidR="00B276D9" w:rsidRPr="00083D61" w:rsidRDefault="00B276D9" w:rsidP="00B276D9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1D07662E" w14:textId="39398CEE" w:rsidR="00B276D9" w:rsidRPr="00083D61" w:rsidRDefault="000F528A" w:rsidP="00A97755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83D61">
        <w:rPr>
          <w:rFonts w:ascii="Arial" w:hAnsi="Arial" w:cs="Arial"/>
          <w:color w:val="auto"/>
          <w:sz w:val="22"/>
          <w:szCs w:val="22"/>
        </w:rPr>
        <w:tab/>
      </w:r>
      <w:r w:rsidRPr="00083D61">
        <w:rPr>
          <w:rFonts w:ascii="Arial" w:hAnsi="Arial" w:cs="Arial"/>
          <w:color w:val="auto"/>
          <w:sz w:val="22"/>
          <w:szCs w:val="22"/>
        </w:rPr>
        <w:tab/>
      </w:r>
      <w:r w:rsidRPr="00083D61">
        <w:rPr>
          <w:rFonts w:ascii="Arial" w:hAnsi="Arial" w:cs="Arial"/>
          <w:color w:val="auto"/>
          <w:sz w:val="22"/>
          <w:szCs w:val="22"/>
        </w:rPr>
        <w:tab/>
      </w:r>
      <w:r w:rsidRPr="00083D61">
        <w:rPr>
          <w:rFonts w:ascii="Arial" w:hAnsi="Arial" w:cs="Arial"/>
          <w:color w:val="auto"/>
          <w:sz w:val="22"/>
          <w:szCs w:val="22"/>
        </w:rPr>
        <w:tab/>
      </w:r>
      <w:r w:rsidRPr="00083D61">
        <w:rPr>
          <w:rFonts w:ascii="Arial" w:hAnsi="Arial" w:cs="Arial"/>
          <w:color w:val="auto"/>
          <w:sz w:val="22"/>
          <w:szCs w:val="22"/>
        </w:rPr>
        <w:tab/>
      </w:r>
      <w:r w:rsidRPr="00083D61">
        <w:rPr>
          <w:rFonts w:ascii="Arial" w:hAnsi="Arial" w:cs="Arial"/>
          <w:color w:val="auto"/>
          <w:sz w:val="22"/>
          <w:szCs w:val="22"/>
        </w:rPr>
        <w:tab/>
      </w:r>
      <w:r w:rsidRPr="00083D61">
        <w:rPr>
          <w:rFonts w:ascii="Arial" w:hAnsi="Arial" w:cs="Arial"/>
          <w:color w:val="auto"/>
          <w:sz w:val="22"/>
          <w:szCs w:val="22"/>
        </w:rPr>
        <w:tab/>
      </w:r>
      <w:r w:rsidRPr="00083D61">
        <w:rPr>
          <w:rFonts w:ascii="Arial" w:hAnsi="Arial" w:cs="Arial"/>
          <w:color w:val="auto"/>
          <w:sz w:val="22"/>
          <w:szCs w:val="22"/>
        </w:rPr>
        <w:tab/>
      </w:r>
      <w:r w:rsidRPr="00083D61">
        <w:rPr>
          <w:rFonts w:ascii="Arial" w:hAnsi="Arial" w:cs="Arial"/>
          <w:color w:val="auto"/>
          <w:sz w:val="22"/>
          <w:szCs w:val="22"/>
        </w:rPr>
        <w:tab/>
      </w:r>
      <w:r w:rsidR="00B276D9" w:rsidRPr="00083D61">
        <w:rPr>
          <w:rFonts w:ascii="Arial" w:hAnsi="Arial" w:cs="Arial"/>
          <w:color w:val="auto"/>
          <w:sz w:val="22"/>
          <w:szCs w:val="22"/>
        </w:rPr>
        <w:t>V</w:t>
      </w:r>
      <w:r w:rsidR="00A60916">
        <w:rPr>
          <w:rFonts w:ascii="Arial" w:hAnsi="Arial" w:cs="Arial"/>
          <w:color w:val="auto"/>
          <w:sz w:val="22"/>
          <w:szCs w:val="22"/>
        </w:rPr>
        <w:t> </w:t>
      </w:r>
      <w:r w:rsidR="00B276D9" w:rsidRPr="00A97755">
        <w:rPr>
          <w:rFonts w:ascii="Arial" w:hAnsi="Arial" w:cs="Arial"/>
          <w:color w:val="000000" w:themeColor="text1"/>
          <w:sz w:val="22"/>
          <w:szCs w:val="22"/>
        </w:rPr>
        <w:t>Praze</w:t>
      </w:r>
      <w:r w:rsidR="00A60916">
        <w:rPr>
          <w:rFonts w:ascii="Arial" w:hAnsi="Arial" w:cs="Arial"/>
          <w:color w:val="auto"/>
          <w:sz w:val="22"/>
          <w:szCs w:val="22"/>
        </w:rPr>
        <w:t xml:space="preserve"> </w:t>
      </w:r>
      <w:r w:rsidR="00B276D9" w:rsidRPr="00083D61">
        <w:rPr>
          <w:rFonts w:ascii="Arial" w:hAnsi="Arial" w:cs="Arial"/>
          <w:color w:val="auto"/>
          <w:sz w:val="22"/>
          <w:szCs w:val="22"/>
        </w:rPr>
        <w:t>dne</w:t>
      </w:r>
      <w:r w:rsidR="00A60916">
        <w:rPr>
          <w:rFonts w:ascii="Arial" w:hAnsi="Arial" w:cs="Arial"/>
          <w:color w:val="auto"/>
          <w:sz w:val="22"/>
          <w:szCs w:val="22"/>
        </w:rPr>
        <w:t xml:space="preserve"> </w:t>
      </w:r>
      <w:r w:rsidR="00A60916" w:rsidRPr="009F4B52">
        <w:rPr>
          <w:rFonts w:ascii="Arial" w:hAnsi="Arial" w:cs="Arial"/>
          <w:bCs/>
          <w:color w:val="000000" w:themeColor="text1"/>
          <w:sz w:val="22"/>
          <w:szCs w:val="22"/>
        </w:rPr>
        <w:t>[</w:t>
      </w:r>
      <w:r w:rsidR="00A60916" w:rsidRPr="009F4B52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DOPLNIT</w:t>
      </w:r>
      <w:r w:rsidR="00A60916" w:rsidRPr="009F4B52">
        <w:rPr>
          <w:rFonts w:ascii="Arial" w:hAnsi="Arial" w:cs="Arial"/>
          <w:bCs/>
          <w:color w:val="000000" w:themeColor="text1"/>
          <w:sz w:val="22"/>
          <w:szCs w:val="22"/>
        </w:rPr>
        <w:t>]</w:t>
      </w:r>
      <w:r w:rsidRPr="00083D61">
        <w:rPr>
          <w:rFonts w:ascii="Arial" w:hAnsi="Arial" w:cs="Arial"/>
          <w:color w:val="auto"/>
          <w:sz w:val="22"/>
          <w:szCs w:val="22"/>
        </w:rPr>
        <w:t xml:space="preserve">            </w:t>
      </w:r>
    </w:p>
    <w:p w14:paraId="3FE7BBC4" w14:textId="77777777" w:rsidR="00B276D9" w:rsidRDefault="00B276D9" w:rsidP="00B276D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63A062" w14:textId="77777777" w:rsidR="00A60916" w:rsidRPr="009F4B52" w:rsidRDefault="00A60916" w:rsidP="00B276D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81B2BDD" w14:textId="77777777" w:rsidR="00B276D9" w:rsidRPr="009F4B52" w:rsidRDefault="00B276D9" w:rsidP="00B276D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6E9914" w14:textId="77777777" w:rsidR="00B276D9" w:rsidRPr="009F4B52" w:rsidRDefault="00B276D9" w:rsidP="00B276D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4B52">
        <w:rPr>
          <w:rFonts w:ascii="Arial" w:hAnsi="Arial" w:cs="Arial"/>
          <w:b/>
          <w:color w:val="000000" w:themeColor="text1"/>
          <w:sz w:val="22"/>
          <w:szCs w:val="22"/>
        </w:rPr>
        <w:t>Zadavatel:</w:t>
      </w:r>
      <w:r w:rsidRPr="009F4B52">
        <w:rPr>
          <w:rFonts w:ascii="Arial" w:hAnsi="Arial" w:cs="Arial"/>
          <w:color w:val="000000" w:themeColor="text1"/>
          <w:sz w:val="22"/>
          <w:szCs w:val="22"/>
        </w:rPr>
        <w:tab/>
      </w:r>
      <w:r w:rsidRPr="009F4B52">
        <w:rPr>
          <w:rFonts w:ascii="Arial" w:hAnsi="Arial" w:cs="Arial"/>
          <w:color w:val="000000" w:themeColor="text1"/>
          <w:sz w:val="22"/>
          <w:szCs w:val="22"/>
        </w:rPr>
        <w:tab/>
      </w:r>
      <w:bookmarkStart w:id="2" w:name="OLE_LINK2"/>
      <w:bookmarkStart w:id="3" w:name="OLE_LINK1"/>
      <w:r w:rsidRPr="009F4B52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Pr="009F4B52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DOPLNIT</w:t>
      </w:r>
      <w:r w:rsidRPr="009F4B52">
        <w:rPr>
          <w:rFonts w:ascii="Arial" w:hAnsi="Arial" w:cs="Arial"/>
          <w:b/>
          <w:color w:val="000000" w:themeColor="text1"/>
          <w:sz w:val="22"/>
          <w:szCs w:val="22"/>
        </w:rPr>
        <w:t>]</w:t>
      </w:r>
    </w:p>
    <w:p w14:paraId="7EF334EE" w14:textId="77777777" w:rsidR="00B276D9" w:rsidRPr="009F4B52" w:rsidRDefault="00B276D9" w:rsidP="00B276D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4B52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F4B52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F4B52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IČO 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</w:rPr>
        <w:t>[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DOPLNIT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</w:rPr>
        <w:t>]</w:t>
      </w:r>
    </w:p>
    <w:p w14:paraId="53429628" w14:textId="77777777" w:rsidR="00B276D9" w:rsidRPr="009F4B52" w:rsidRDefault="00B276D9" w:rsidP="00B276D9">
      <w:pPr>
        <w:ind w:left="141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4B52">
        <w:rPr>
          <w:rFonts w:ascii="Arial" w:hAnsi="Arial" w:cs="Arial"/>
          <w:color w:val="000000" w:themeColor="text1"/>
          <w:sz w:val="22"/>
          <w:szCs w:val="22"/>
        </w:rPr>
        <w:t>se sídlem</w:t>
      </w:r>
      <w:bookmarkEnd w:id="2"/>
      <w:bookmarkEnd w:id="3"/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</w:rPr>
        <w:t>[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DOPLNIT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</w:rPr>
        <w:t>]</w:t>
      </w:r>
    </w:p>
    <w:p w14:paraId="3C875493" w14:textId="0CB5C728" w:rsidR="00B276D9" w:rsidRPr="009F4B52" w:rsidRDefault="00B276D9" w:rsidP="00B276D9">
      <w:pPr>
        <w:ind w:left="212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zastoupen 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</w:rPr>
        <w:t>[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DOPLNIT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</w:rPr>
        <w:t>], [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DOPLNIT FUNKCI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</w:rPr>
        <w:t>]</w:t>
      </w: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EC44F4A" w14:textId="77777777" w:rsidR="00B276D9" w:rsidRPr="009F4B52" w:rsidRDefault="00B276D9" w:rsidP="00B276D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229317" w14:textId="77777777" w:rsidR="00B276D9" w:rsidRPr="009F4B52" w:rsidRDefault="00B276D9" w:rsidP="00B276D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719E98" w14:textId="77777777" w:rsidR="00B276D9" w:rsidRPr="009F4B52" w:rsidRDefault="00B276D9" w:rsidP="00B276D9">
      <w:pPr>
        <w:tabs>
          <w:tab w:val="left" w:pos="2127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F4B52">
        <w:rPr>
          <w:rFonts w:ascii="Arial" w:hAnsi="Arial" w:cs="Arial"/>
          <w:b/>
          <w:color w:val="000000" w:themeColor="text1"/>
          <w:sz w:val="22"/>
          <w:szCs w:val="22"/>
        </w:rPr>
        <w:t>Stěžovatel:</w:t>
      </w:r>
      <w:r w:rsidRPr="009F4B52">
        <w:rPr>
          <w:rFonts w:ascii="Arial" w:hAnsi="Arial" w:cs="Arial"/>
          <w:b/>
          <w:color w:val="000000" w:themeColor="text1"/>
          <w:sz w:val="22"/>
          <w:szCs w:val="22"/>
        </w:rPr>
        <w:tab/>
        <w:t>[</w:t>
      </w:r>
      <w:r w:rsidRPr="009F4B52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DOPLNIT</w:t>
      </w:r>
      <w:r w:rsidRPr="009F4B52">
        <w:rPr>
          <w:rFonts w:ascii="Arial" w:hAnsi="Arial" w:cs="Arial"/>
          <w:b/>
          <w:color w:val="000000" w:themeColor="text1"/>
          <w:sz w:val="22"/>
          <w:szCs w:val="22"/>
        </w:rPr>
        <w:t>]</w:t>
      </w:r>
    </w:p>
    <w:p w14:paraId="42DDDA67" w14:textId="77777777" w:rsidR="00B276D9" w:rsidRPr="009F4B52" w:rsidRDefault="00B276D9" w:rsidP="00B276D9">
      <w:pPr>
        <w:ind w:left="141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IČO 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</w:rPr>
        <w:t>[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DOPLNIT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</w:rPr>
        <w:t>]</w:t>
      </w:r>
    </w:p>
    <w:p w14:paraId="54106933" w14:textId="77777777" w:rsidR="00B276D9" w:rsidRPr="009F4B52" w:rsidRDefault="00B276D9" w:rsidP="00B276D9">
      <w:pPr>
        <w:ind w:left="141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se sídlem 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</w:rPr>
        <w:t>[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DOPLNIT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</w:rPr>
        <w:t>]</w:t>
      </w:r>
    </w:p>
    <w:p w14:paraId="14A0A3D2" w14:textId="77777777" w:rsidR="00B276D9" w:rsidRPr="009F4B52" w:rsidRDefault="00B276D9" w:rsidP="00B276D9">
      <w:pPr>
        <w:tabs>
          <w:tab w:val="left" w:pos="1035"/>
        </w:tabs>
        <w:ind w:left="212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zapsaná v obchodním rejstříku 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</w:rPr>
        <w:t>[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DOPLNIT SOUD, KTERÝ VEDE REJSTŘÍK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</w:rPr>
        <w:t>]</w:t>
      </w: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 pod </w:t>
      </w:r>
      <w:proofErr w:type="spellStart"/>
      <w:r w:rsidRPr="009F4B52">
        <w:rPr>
          <w:rFonts w:ascii="Arial" w:hAnsi="Arial" w:cs="Arial"/>
          <w:color w:val="000000" w:themeColor="text1"/>
          <w:sz w:val="22"/>
          <w:szCs w:val="22"/>
        </w:rPr>
        <w:t>sp</w:t>
      </w:r>
      <w:proofErr w:type="spellEnd"/>
      <w:r w:rsidRPr="009F4B52">
        <w:rPr>
          <w:rFonts w:ascii="Arial" w:hAnsi="Arial" w:cs="Arial"/>
          <w:color w:val="000000" w:themeColor="text1"/>
          <w:sz w:val="22"/>
          <w:szCs w:val="22"/>
        </w:rPr>
        <w:t>. zn. 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</w:rPr>
        <w:t>[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DOPLNIT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</w:rPr>
        <w:t>]</w:t>
      </w:r>
    </w:p>
    <w:p w14:paraId="71B95E0B" w14:textId="77777777" w:rsidR="00B276D9" w:rsidRPr="009F4B52" w:rsidRDefault="00B276D9" w:rsidP="00B276D9">
      <w:pPr>
        <w:tabs>
          <w:tab w:val="left" w:pos="2127"/>
        </w:tabs>
        <w:ind w:left="2127" w:hanging="21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4B52">
        <w:rPr>
          <w:rFonts w:ascii="Arial" w:hAnsi="Arial" w:cs="Arial"/>
          <w:color w:val="000000" w:themeColor="text1"/>
          <w:sz w:val="22"/>
          <w:szCs w:val="22"/>
        </w:rPr>
        <w:tab/>
        <w:t xml:space="preserve">zastoupená 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</w:rPr>
        <w:t>[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DOPLNIT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</w:rPr>
        <w:t>], [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DOPLNIT FUNKCI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</w:rPr>
        <w:t>]</w:t>
      </w:r>
    </w:p>
    <w:p w14:paraId="6F59B305" w14:textId="77777777" w:rsidR="00B276D9" w:rsidRPr="009F4B52" w:rsidRDefault="00B276D9" w:rsidP="00B276D9">
      <w:pPr>
        <w:ind w:left="2127" w:hanging="212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F4B52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F35BDBA" w14:textId="77777777" w:rsidR="00B276D9" w:rsidRPr="009F4B52" w:rsidRDefault="00B276D9" w:rsidP="00B276D9">
      <w:pPr>
        <w:tabs>
          <w:tab w:val="left" w:pos="1035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BC6C9A" w14:textId="77777777" w:rsidR="00B276D9" w:rsidRPr="009F4B52" w:rsidRDefault="00B276D9" w:rsidP="00B276D9">
      <w:pPr>
        <w:ind w:left="2127"/>
        <w:jc w:val="both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  <w:r w:rsidRPr="009F4B52">
        <w:rPr>
          <w:rFonts w:ascii="Arial" w:hAnsi="Arial" w:cs="Arial"/>
          <w:b/>
          <w:smallCaps/>
          <w:color w:val="000000" w:themeColor="text1"/>
          <w:sz w:val="22"/>
          <w:szCs w:val="22"/>
        </w:rPr>
        <w:t>Námitky proti zadávací dokumentaci</w:t>
      </w:r>
    </w:p>
    <w:p w14:paraId="769F163A" w14:textId="77777777" w:rsidR="00B276D9" w:rsidRPr="009F4B52" w:rsidRDefault="00B276D9" w:rsidP="00B276D9">
      <w:pPr>
        <w:ind w:left="1843" w:hanging="184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0249772" w14:textId="77777777" w:rsidR="00B276D9" w:rsidRPr="009F4B52" w:rsidRDefault="00B276D9" w:rsidP="00B276D9">
      <w:pPr>
        <w:ind w:left="1843" w:hanging="1843"/>
        <w:jc w:val="both"/>
        <w:rPr>
          <w:rFonts w:ascii="Arial" w:hAnsi="Arial" w:cs="Arial"/>
          <w:b/>
          <w:smallCaps/>
          <w:color w:val="000000" w:themeColor="text1"/>
          <w:sz w:val="22"/>
          <w:szCs w:val="22"/>
          <w:u w:val="single"/>
        </w:rPr>
      </w:pPr>
    </w:p>
    <w:p w14:paraId="26D2CB4E" w14:textId="77777777" w:rsidR="00B276D9" w:rsidRPr="009F4B52" w:rsidRDefault="00B276D9" w:rsidP="00B276D9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F4B52">
        <w:rPr>
          <w:rFonts w:ascii="Arial" w:hAnsi="Arial" w:cs="Arial"/>
          <w:b/>
          <w:color w:val="000000" w:themeColor="text1"/>
          <w:sz w:val="22"/>
          <w:szCs w:val="22"/>
        </w:rPr>
        <w:t>v [</w:t>
      </w:r>
      <w:r w:rsidRPr="009F4B52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DOPLNIT</w:t>
      </w:r>
      <w:r w:rsidR="00E74B4B" w:rsidRPr="009F4B52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:</w:t>
      </w:r>
      <w:r w:rsidRPr="009F4B52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 xml:space="preserve"> NADLIMITNÍ / PODLIMITNÍ</w:t>
      </w:r>
      <w:r w:rsidRPr="009F4B52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="00F87CD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F4B52">
        <w:rPr>
          <w:rFonts w:ascii="Arial" w:hAnsi="Arial" w:cs="Arial"/>
          <w:b/>
          <w:color w:val="000000" w:themeColor="text1"/>
          <w:sz w:val="22"/>
          <w:szCs w:val="22"/>
        </w:rPr>
        <w:t>veřejné zakázce na [</w:t>
      </w:r>
      <w:r w:rsidRPr="009F4B52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DOPLNIT</w:t>
      </w:r>
      <w:r w:rsidR="00E74B4B" w:rsidRPr="009F4B52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: DODÁVKY / SLUŽBY / STAVEBNÍ PRÁCE</w:t>
      </w:r>
      <w:r w:rsidRPr="009F4B52">
        <w:rPr>
          <w:rFonts w:ascii="Arial" w:hAnsi="Arial" w:cs="Arial"/>
          <w:b/>
          <w:color w:val="000000" w:themeColor="text1"/>
          <w:sz w:val="22"/>
          <w:szCs w:val="22"/>
        </w:rPr>
        <w:t>] pod názvem „[</w:t>
      </w:r>
      <w:r w:rsidRPr="00EC3714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DOPLNIT NÁZEV</w:t>
      </w:r>
      <w:r w:rsidRPr="009F4B52">
        <w:rPr>
          <w:rFonts w:ascii="Arial" w:hAnsi="Arial" w:cs="Arial"/>
          <w:b/>
          <w:color w:val="000000" w:themeColor="text1"/>
          <w:sz w:val="22"/>
          <w:szCs w:val="22"/>
        </w:rPr>
        <w:t>]“ zadávané v [</w:t>
      </w:r>
      <w:r w:rsidRPr="009F4B52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DOPLNIT TYP ŘÍZENÍ</w:t>
      </w:r>
      <w:r w:rsidRPr="009F4B52">
        <w:rPr>
          <w:rFonts w:ascii="Arial" w:hAnsi="Arial" w:cs="Arial"/>
          <w:b/>
          <w:color w:val="000000" w:themeColor="text1"/>
          <w:sz w:val="22"/>
          <w:szCs w:val="22"/>
        </w:rPr>
        <w:t>] řízení podle zákona č. 134/2016 Sb., o zadávání veřejných zakázek, ve znění pozdějších předpisů</w:t>
      </w:r>
    </w:p>
    <w:p w14:paraId="7FCE2F79" w14:textId="77777777" w:rsidR="00B276D9" w:rsidRPr="009F4B52" w:rsidRDefault="00B276D9" w:rsidP="00B276D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002161" w14:textId="77777777" w:rsidR="00B276D9" w:rsidRPr="009F4B52" w:rsidRDefault="00B276D9" w:rsidP="00B276D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0D59C9" w14:textId="77777777" w:rsidR="00B276D9" w:rsidRPr="009F4B52" w:rsidRDefault="00B276D9" w:rsidP="00B276D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3A3BCC" w14:textId="77777777" w:rsidR="00B276D9" w:rsidRPr="009F4B52" w:rsidRDefault="00B276D9" w:rsidP="00B276D9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9F4B52">
        <w:rPr>
          <w:rFonts w:ascii="Arial" w:hAnsi="Arial" w:cs="Arial"/>
          <w:i/>
          <w:color w:val="000000" w:themeColor="text1"/>
          <w:sz w:val="22"/>
          <w:szCs w:val="22"/>
        </w:rPr>
        <w:t>Přílohy:</w:t>
      </w:r>
      <w:r w:rsidRPr="009F4B52">
        <w:rPr>
          <w:rFonts w:ascii="Arial" w:hAnsi="Arial" w:cs="Arial"/>
          <w:i/>
          <w:color w:val="000000" w:themeColor="text1"/>
          <w:sz w:val="22"/>
          <w:szCs w:val="22"/>
        </w:rPr>
        <w:tab/>
      </w:r>
    </w:p>
    <w:p w14:paraId="781501C2" w14:textId="77777777" w:rsidR="00B276D9" w:rsidRPr="009F4B52" w:rsidRDefault="00E74B4B" w:rsidP="00E74B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color w:val="000000" w:themeColor="text1"/>
          <w:highlight w:val="yellow"/>
        </w:rPr>
      </w:pPr>
      <w:r w:rsidRPr="009F4B52">
        <w:rPr>
          <w:rFonts w:ascii="Arial" w:hAnsi="Arial" w:cs="Arial"/>
          <w:bCs/>
          <w:i/>
          <w:color w:val="000000" w:themeColor="text1"/>
        </w:rPr>
        <w:t>[</w:t>
      </w:r>
      <w:r w:rsidRPr="009F4B52">
        <w:rPr>
          <w:rFonts w:ascii="Arial" w:hAnsi="Arial" w:cs="Arial"/>
          <w:bCs/>
          <w:i/>
          <w:color w:val="000000" w:themeColor="text1"/>
          <w:highlight w:val="yellow"/>
        </w:rPr>
        <w:t>DOPLNIT</w:t>
      </w:r>
      <w:r w:rsidRPr="009F4B52">
        <w:rPr>
          <w:rFonts w:ascii="Arial" w:hAnsi="Arial" w:cs="Arial"/>
          <w:bCs/>
          <w:i/>
          <w:color w:val="000000" w:themeColor="text1"/>
        </w:rPr>
        <w:t>]</w:t>
      </w:r>
      <w:r w:rsidR="00F87CD5">
        <w:rPr>
          <w:rFonts w:ascii="Arial" w:hAnsi="Arial" w:cs="Arial"/>
          <w:bCs/>
          <w:i/>
          <w:color w:val="000000" w:themeColor="text1"/>
        </w:rPr>
        <w:t>;</w:t>
      </w:r>
    </w:p>
    <w:p w14:paraId="58F16B08" w14:textId="77777777" w:rsidR="00E74B4B" w:rsidRPr="009F4B52" w:rsidRDefault="00E74B4B" w:rsidP="00E74B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color w:val="000000" w:themeColor="text1"/>
          <w:highlight w:val="yellow"/>
        </w:rPr>
      </w:pPr>
      <w:r w:rsidRPr="009F4B52">
        <w:rPr>
          <w:rFonts w:ascii="Arial" w:hAnsi="Arial" w:cs="Arial"/>
          <w:bCs/>
          <w:i/>
          <w:color w:val="000000" w:themeColor="text1"/>
        </w:rPr>
        <w:t>[</w:t>
      </w:r>
      <w:r w:rsidRPr="009F4B52">
        <w:rPr>
          <w:rFonts w:ascii="Arial" w:hAnsi="Arial" w:cs="Arial"/>
          <w:bCs/>
          <w:i/>
          <w:color w:val="000000" w:themeColor="text1"/>
          <w:highlight w:val="yellow"/>
        </w:rPr>
        <w:t>DOPLNIT</w:t>
      </w:r>
      <w:r w:rsidRPr="009F4B52">
        <w:rPr>
          <w:rFonts w:ascii="Arial" w:hAnsi="Arial" w:cs="Arial"/>
          <w:bCs/>
          <w:i/>
          <w:color w:val="000000" w:themeColor="text1"/>
        </w:rPr>
        <w:t>].</w:t>
      </w:r>
    </w:p>
    <w:p w14:paraId="40A3FFFA" w14:textId="77777777" w:rsidR="00B276D9" w:rsidRPr="009F4B52" w:rsidRDefault="00B276D9" w:rsidP="00B276D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9FED23" w14:textId="77777777" w:rsidR="00B276D9" w:rsidRPr="009F4B52" w:rsidRDefault="00B276D9" w:rsidP="00B276D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F4B52">
        <w:rPr>
          <w:rFonts w:ascii="Arial" w:hAnsi="Arial" w:cs="Arial"/>
          <w:b/>
          <w:color w:val="000000" w:themeColor="text1"/>
          <w:sz w:val="22"/>
          <w:szCs w:val="22"/>
        </w:rPr>
        <w:br w:type="column"/>
      </w:r>
      <w:r w:rsidRPr="009F4B52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I.</w:t>
      </w:r>
    </w:p>
    <w:p w14:paraId="08595752" w14:textId="77777777" w:rsidR="00B276D9" w:rsidRPr="009F4B52" w:rsidRDefault="00B276D9" w:rsidP="00B276D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77A527" w14:textId="77777777" w:rsidR="00E74B4B" w:rsidRPr="009F4B52" w:rsidRDefault="00E74B4B" w:rsidP="00E74B4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Dne 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</w:rPr>
        <w:t>[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DOPLNIT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</w:rPr>
        <w:t>]</w:t>
      </w: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 v 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</w:rPr>
        <w:t>[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DOPLNIT</w:t>
      </w:r>
      <w:r w:rsidRPr="009F4B52">
        <w:rPr>
          <w:rFonts w:ascii="Arial" w:hAnsi="Arial" w:cs="Arial"/>
          <w:bCs/>
          <w:color w:val="000000" w:themeColor="text1"/>
          <w:sz w:val="22"/>
          <w:szCs w:val="22"/>
        </w:rPr>
        <w:t>]</w:t>
      </w: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 hod. končí lhůta pro podání nabídek ve veřejné zakázce</w:t>
      </w:r>
      <w:r w:rsidRPr="009F4B5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„</w:t>
      </w:r>
      <w:r w:rsidRPr="009F4B52">
        <w:rPr>
          <w:rFonts w:ascii="Arial" w:hAnsi="Arial" w:cs="Arial"/>
          <w:bCs/>
          <w:i/>
          <w:color w:val="000000" w:themeColor="text1"/>
          <w:sz w:val="22"/>
          <w:szCs w:val="22"/>
        </w:rPr>
        <w:t>[</w:t>
      </w:r>
      <w:r w:rsidRPr="00F87CD5">
        <w:rPr>
          <w:rFonts w:ascii="Arial" w:hAnsi="Arial" w:cs="Arial"/>
          <w:bCs/>
          <w:i/>
          <w:color w:val="000000" w:themeColor="text1"/>
          <w:sz w:val="22"/>
          <w:szCs w:val="22"/>
          <w:highlight w:val="yellow"/>
        </w:rPr>
        <w:t>DOPLNIT</w:t>
      </w:r>
      <w:r w:rsidR="00F87CD5" w:rsidRPr="00F87CD5">
        <w:rPr>
          <w:rFonts w:ascii="Arial" w:hAnsi="Arial" w:cs="Arial"/>
          <w:bCs/>
          <w:i/>
          <w:color w:val="000000" w:themeColor="text1"/>
          <w:sz w:val="22"/>
          <w:szCs w:val="22"/>
          <w:highlight w:val="yellow"/>
        </w:rPr>
        <w:t xml:space="preserve"> NÁZEV</w:t>
      </w:r>
      <w:r w:rsidRPr="009F4B52">
        <w:rPr>
          <w:rFonts w:ascii="Arial" w:hAnsi="Arial" w:cs="Arial"/>
          <w:bCs/>
          <w:i/>
          <w:color w:val="000000" w:themeColor="text1"/>
          <w:sz w:val="22"/>
          <w:szCs w:val="22"/>
        </w:rPr>
        <w:t>]</w:t>
      </w:r>
      <w:r w:rsidRPr="009F4B5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“ </w:t>
      </w:r>
      <w:r w:rsidRPr="009F4B52">
        <w:rPr>
          <w:rFonts w:ascii="Arial" w:hAnsi="Arial" w:cs="Arial"/>
          <w:color w:val="000000" w:themeColor="text1"/>
          <w:sz w:val="22"/>
          <w:szCs w:val="22"/>
        </w:rPr>
        <w:t>(dále jen „</w:t>
      </w:r>
      <w:r w:rsidRPr="009F4B52">
        <w:rPr>
          <w:rFonts w:ascii="Arial" w:hAnsi="Arial" w:cs="Arial"/>
          <w:b/>
          <w:bCs/>
          <w:color w:val="000000" w:themeColor="text1"/>
          <w:sz w:val="22"/>
          <w:szCs w:val="22"/>
        </w:rPr>
        <w:t>Veřejná zakázka</w:t>
      </w: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“), ve které nadepsaný zadavatel poptává </w:t>
      </w:r>
      <w:r w:rsidR="00CB64DA" w:rsidRPr="009F4B52">
        <w:rPr>
          <w:rFonts w:ascii="Arial" w:hAnsi="Arial" w:cs="Arial"/>
          <w:bCs/>
          <w:color w:val="000000" w:themeColor="text1"/>
          <w:sz w:val="22"/>
          <w:szCs w:val="22"/>
        </w:rPr>
        <w:t>[</w:t>
      </w:r>
      <w:r w:rsidR="00CB64DA" w:rsidRPr="009F4B52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DOPLNIT</w:t>
      </w:r>
      <w:r w:rsidR="00CB64DA" w:rsidRPr="009F4B52">
        <w:rPr>
          <w:rFonts w:ascii="Arial" w:hAnsi="Arial" w:cs="Arial"/>
          <w:bCs/>
          <w:color w:val="000000" w:themeColor="text1"/>
          <w:sz w:val="22"/>
          <w:szCs w:val="22"/>
        </w:rPr>
        <w:t>]</w:t>
      </w:r>
      <w:r w:rsidRPr="009F4B52">
        <w:rPr>
          <w:rFonts w:ascii="Arial" w:hAnsi="Arial" w:cs="Arial"/>
          <w:color w:val="000000" w:themeColor="text1"/>
          <w:sz w:val="22"/>
          <w:szCs w:val="22"/>
        </w:rPr>
        <w:t>. Podmí</w:t>
      </w:r>
      <w:r w:rsidR="003C66B4">
        <w:rPr>
          <w:rFonts w:ascii="Arial" w:hAnsi="Arial" w:cs="Arial"/>
          <w:color w:val="000000" w:themeColor="text1"/>
          <w:sz w:val="22"/>
          <w:szCs w:val="22"/>
        </w:rPr>
        <w:t>nky pro účast a podání nabídek z</w:t>
      </w:r>
      <w:r w:rsidRPr="009F4B52">
        <w:rPr>
          <w:rFonts w:ascii="Arial" w:hAnsi="Arial" w:cs="Arial"/>
          <w:color w:val="000000" w:themeColor="text1"/>
          <w:sz w:val="22"/>
          <w:szCs w:val="22"/>
        </w:rPr>
        <w:t>adavatel stanovil v zadávací dokumentaci Veřejné zakázky (dále jen „</w:t>
      </w:r>
      <w:r w:rsidRPr="009F4B5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Zadávací </w:t>
      </w:r>
      <w:r w:rsidR="003C66B4">
        <w:rPr>
          <w:rFonts w:ascii="Arial" w:hAnsi="Arial" w:cs="Arial"/>
          <w:b/>
          <w:bCs/>
          <w:color w:val="000000" w:themeColor="text1"/>
          <w:sz w:val="22"/>
          <w:szCs w:val="22"/>
        </w:rPr>
        <w:t>dokumentace</w:t>
      </w: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“). </w:t>
      </w:r>
    </w:p>
    <w:p w14:paraId="1707A422" w14:textId="77777777" w:rsidR="00E74B4B" w:rsidRPr="009F4B52" w:rsidRDefault="00E74B4B" w:rsidP="00E74B4B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B307376" w14:textId="77777777" w:rsidR="00E74B4B" w:rsidRPr="009F4B52" w:rsidRDefault="00E74B4B" w:rsidP="00E74B4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4B52">
        <w:rPr>
          <w:rFonts w:ascii="Arial" w:hAnsi="Arial" w:cs="Arial"/>
          <w:color w:val="000000" w:themeColor="text1"/>
          <w:sz w:val="22"/>
          <w:szCs w:val="22"/>
        </w:rPr>
        <w:t>Stěžovatel tímto podává v souladu s § 241 odst. 2 zákona č. 134/2016 Sb., o zadávání veřejných zakázek, ve znění pozdějších předpisů (dále také jen „</w:t>
      </w:r>
      <w:r w:rsidRPr="009F4B52">
        <w:rPr>
          <w:rFonts w:ascii="Arial" w:hAnsi="Arial" w:cs="Arial"/>
          <w:b/>
          <w:color w:val="000000" w:themeColor="text1"/>
          <w:sz w:val="22"/>
          <w:szCs w:val="22"/>
        </w:rPr>
        <w:t>ZZVZ</w:t>
      </w:r>
      <w:r w:rsidR="00513448">
        <w:rPr>
          <w:rFonts w:ascii="Arial" w:hAnsi="Arial" w:cs="Arial"/>
          <w:color w:val="000000" w:themeColor="text1"/>
          <w:sz w:val="22"/>
          <w:szCs w:val="22"/>
        </w:rPr>
        <w:t>“), námitky proti z</w:t>
      </w:r>
      <w:r w:rsidRPr="009F4B52">
        <w:rPr>
          <w:rFonts w:ascii="Arial" w:hAnsi="Arial" w:cs="Arial"/>
          <w:color w:val="000000" w:themeColor="text1"/>
          <w:sz w:val="22"/>
          <w:szCs w:val="22"/>
        </w:rPr>
        <w:t>adávací</w:t>
      </w:r>
      <w:r w:rsidR="00513448">
        <w:rPr>
          <w:rFonts w:ascii="Arial" w:hAnsi="Arial" w:cs="Arial"/>
          <w:color w:val="000000" w:themeColor="text1"/>
          <w:sz w:val="22"/>
          <w:szCs w:val="22"/>
        </w:rPr>
        <w:t>m</w:t>
      </w: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 podmínkám Veřejné zakázky. </w:t>
      </w:r>
    </w:p>
    <w:p w14:paraId="2CCA37CE" w14:textId="77777777" w:rsidR="00E74B4B" w:rsidRPr="009F4B52" w:rsidRDefault="00E74B4B" w:rsidP="00E74B4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CBADAE" w14:textId="77777777" w:rsidR="00E74B4B" w:rsidRPr="009F4B52" w:rsidRDefault="00E74B4B" w:rsidP="00CB64D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Stěžovatel se domnívá, že mu vznikla újma (bezprostředně hrozí), </w:t>
      </w:r>
      <w:r w:rsidR="00513448">
        <w:rPr>
          <w:rFonts w:ascii="Arial" w:hAnsi="Arial" w:cs="Arial"/>
          <w:color w:val="000000" w:themeColor="text1"/>
          <w:sz w:val="22"/>
          <w:szCs w:val="22"/>
        </w:rPr>
        <w:t>protože z</w:t>
      </w:r>
      <w:r w:rsidR="003C66B4">
        <w:rPr>
          <w:rFonts w:ascii="Arial" w:hAnsi="Arial" w:cs="Arial"/>
          <w:color w:val="000000" w:themeColor="text1"/>
          <w:sz w:val="22"/>
          <w:szCs w:val="22"/>
        </w:rPr>
        <w:t>adávací podmínky (dle Z</w:t>
      </w: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adávací dokumentace a výzvy k podání nabídek, </w:t>
      </w:r>
      <w:r w:rsidR="00CB64DA" w:rsidRPr="009F4B52">
        <w:rPr>
          <w:rFonts w:ascii="Arial" w:hAnsi="Arial" w:cs="Arial"/>
          <w:bCs/>
          <w:color w:val="000000" w:themeColor="text1"/>
          <w:sz w:val="22"/>
          <w:szCs w:val="22"/>
        </w:rPr>
        <w:t>[</w:t>
      </w:r>
      <w:r w:rsidR="00CB64DA" w:rsidRPr="009F4B52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DOPLNIT ČÍSLO / DATUM VÝZVY</w:t>
      </w:r>
      <w:r w:rsidR="00CB64DA" w:rsidRPr="009F4B52">
        <w:rPr>
          <w:rFonts w:ascii="Arial" w:hAnsi="Arial" w:cs="Arial"/>
          <w:bCs/>
          <w:color w:val="000000" w:themeColor="text1"/>
          <w:sz w:val="22"/>
          <w:szCs w:val="22"/>
        </w:rPr>
        <w:t>]</w:t>
      </w: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, uveřejněné na profilu </w:t>
      </w:r>
      <w:r w:rsidR="003C66B4">
        <w:rPr>
          <w:rFonts w:ascii="Arial" w:hAnsi="Arial" w:cs="Arial"/>
          <w:color w:val="000000" w:themeColor="text1"/>
          <w:sz w:val="22"/>
          <w:szCs w:val="22"/>
        </w:rPr>
        <w:t>z</w:t>
      </w: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adavatele dne </w:t>
      </w:r>
      <w:r w:rsidR="00CB64DA" w:rsidRPr="009F4B52">
        <w:rPr>
          <w:rFonts w:ascii="Arial" w:hAnsi="Arial" w:cs="Arial"/>
          <w:bCs/>
          <w:color w:val="000000" w:themeColor="text1"/>
          <w:sz w:val="22"/>
          <w:szCs w:val="22"/>
        </w:rPr>
        <w:t>[</w:t>
      </w:r>
      <w:r w:rsidR="00CB64DA" w:rsidRPr="009F4B52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DOPLNIT</w:t>
      </w:r>
      <w:r w:rsidR="00CB64DA" w:rsidRPr="009F4B52">
        <w:rPr>
          <w:rFonts w:ascii="Arial" w:hAnsi="Arial" w:cs="Arial"/>
          <w:bCs/>
          <w:color w:val="000000" w:themeColor="text1"/>
          <w:sz w:val="22"/>
          <w:szCs w:val="22"/>
        </w:rPr>
        <w:t>]</w:t>
      </w: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) jej diskriminují, protože </w:t>
      </w:r>
      <w:r w:rsidR="00CB64DA" w:rsidRPr="009F4B52">
        <w:rPr>
          <w:rFonts w:ascii="Arial" w:hAnsi="Arial" w:cs="Arial"/>
          <w:color w:val="000000" w:themeColor="text1"/>
          <w:sz w:val="22"/>
          <w:szCs w:val="22"/>
        </w:rPr>
        <w:t>nedostatečně předcházejí nabízení (dodání) nelegálního</w:t>
      </w:r>
      <w:r w:rsidR="00EC37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64DA" w:rsidRPr="009F4B52">
        <w:rPr>
          <w:rFonts w:ascii="Arial" w:hAnsi="Arial" w:cs="Arial"/>
          <w:color w:val="000000" w:themeColor="text1"/>
          <w:sz w:val="22"/>
          <w:szCs w:val="22"/>
        </w:rPr>
        <w:t xml:space="preserve">druhotného software, případně druhotného software nezpůsobilého dlouhodobě plnit zadávací podmínky. Tento nelegální nebo nezpůsobilý software může být, právě v důsledku těchto </w:t>
      </w:r>
      <w:r w:rsidR="00EC3714">
        <w:rPr>
          <w:rFonts w:ascii="Arial" w:hAnsi="Arial" w:cs="Arial"/>
          <w:color w:val="000000" w:themeColor="text1"/>
          <w:sz w:val="22"/>
          <w:szCs w:val="22"/>
        </w:rPr>
        <w:t>vlastností, výrazně levnější, a </w:t>
      </w:r>
      <w:r w:rsidR="00CB64DA" w:rsidRPr="009F4B52">
        <w:rPr>
          <w:rFonts w:ascii="Arial" w:hAnsi="Arial" w:cs="Arial"/>
          <w:color w:val="000000" w:themeColor="text1"/>
          <w:sz w:val="22"/>
          <w:szCs w:val="22"/>
        </w:rPr>
        <w:t>proto mu dodavatelé řádného software (jako např. stěžovatel) nemohou konkurovat.  Uvedeného se zadavatel</w:t>
      </w: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 dopustil tím, že:</w:t>
      </w:r>
    </w:p>
    <w:p w14:paraId="74D2CFDD" w14:textId="77777777" w:rsidR="00E74B4B" w:rsidRPr="009F4B52" w:rsidRDefault="00E74B4B" w:rsidP="003348C8">
      <w:pPr>
        <w:pStyle w:val="Odstavecseseznamem"/>
        <w:numPr>
          <w:ilvl w:val="0"/>
          <w:numId w:val="5"/>
        </w:numPr>
        <w:ind w:left="360"/>
        <w:jc w:val="both"/>
        <w:rPr>
          <w:rFonts w:ascii="Arial" w:hAnsi="Arial" w:cs="Arial"/>
          <w:color w:val="000000" w:themeColor="text1"/>
        </w:rPr>
      </w:pPr>
      <w:r w:rsidRPr="009F4B52">
        <w:rPr>
          <w:rFonts w:ascii="Arial" w:hAnsi="Arial" w:cs="Arial"/>
          <w:color w:val="000000" w:themeColor="text1"/>
        </w:rPr>
        <w:t>v</w:t>
      </w:r>
      <w:r w:rsidR="00513448">
        <w:rPr>
          <w:rFonts w:ascii="Arial" w:hAnsi="Arial" w:cs="Arial"/>
          <w:color w:val="000000" w:themeColor="text1"/>
        </w:rPr>
        <w:t> </w:t>
      </w:r>
      <w:r w:rsidRPr="009F4B52">
        <w:rPr>
          <w:rFonts w:ascii="Arial" w:hAnsi="Arial" w:cs="Arial"/>
          <w:color w:val="000000" w:themeColor="text1"/>
        </w:rPr>
        <w:t>Zadávací</w:t>
      </w:r>
      <w:r w:rsidR="00513448">
        <w:rPr>
          <w:rFonts w:ascii="Arial" w:hAnsi="Arial" w:cs="Arial"/>
          <w:color w:val="000000" w:themeColor="text1"/>
        </w:rPr>
        <w:t xml:space="preserve"> dokumentaci </w:t>
      </w:r>
      <w:r w:rsidRPr="009F4B52">
        <w:rPr>
          <w:rFonts w:ascii="Arial" w:hAnsi="Arial" w:cs="Arial"/>
          <w:color w:val="000000" w:themeColor="text1"/>
        </w:rPr>
        <w:t xml:space="preserve">nestanovil </w:t>
      </w:r>
      <w:r w:rsidR="00F87CD5">
        <w:rPr>
          <w:rFonts w:ascii="Arial" w:hAnsi="Arial" w:cs="Arial"/>
          <w:color w:val="000000" w:themeColor="text1"/>
        </w:rPr>
        <w:t>dostatečné</w:t>
      </w:r>
      <w:r w:rsidRPr="009F4B52">
        <w:rPr>
          <w:rFonts w:ascii="Arial" w:hAnsi="Arial" w:cs="Arial"/>
          <w:color w:val="000000" w:themeColor="text1"/>
        </w:rPr>
        <w:t xml:space="preserve"> podmínky </w:t>
      </w:r>
      <w:r w:rsidR="00F87CD5">
        <w:rPr>
          <w:rFonts w:ascii="Arial" w:hAnsi="Arial" w:cs="Arial"/>
          <w:color w:val="000000" w:themeColor="text1"/>
        </w:rPr>
        <w:t>k předejití</w:t>
      </w:r>
      <w:r w:rsidR="003348C8" w:rsidRPr="009F4B52">
        <w:rPr>
          <w:rFonts w:ascii="Arial" w:hAnsi="Arial" w:cs="Arial"/>
          <w:color w:val="000000" w:themeColor="text1"/>
        </w:rPr>
        <w:t xml:space="preserve"> dodání </w:t>
      </w:r>
      <w:r w:rsidR="00576D6F">
        <w:rPr>
          <w:rFonts w:ascii="Arial" w:hAnsi="Arial" w:cs="Arial"/>
          <w:color w:val="000000" w:themeColor="text1"/>
        </w:rPr>
        <w:t>nelegálních</w:t>
      </w:r>
      <w:r w:rsidR="003348C8" w:rsidRPr="009F4B52">
        <w:rPr>
          <w:rFonts w:ascii="Arial" w:hAnsi="Arial" w:cs="Arial"/>
          <w:color w:val="000000" w:themeColor="text1"/>
        </w:rPr>
        <w:t xml:space="preserve"> druhotných licencí</w:t>
      </w:r>
      <w:r w:rsidRPr="009F4B52">
        <w:rPr>
          <w:rFonts w:ascii="Arial" w:hAnsi="Arial" w:cs="Arial"/>
          <w:color w:val="000000" w:themeColor="text1"/>
        </w:rPr>
        <w:t>;</w:t>
      </w:r>
    </w:p>
    <w:p w14:paraId="567D4174" w14:textId="23163BD9" w:rsidR="003348C8" w:rsidRPr="009F4B52" w:rsidRDefault="00E74B4B" w:rsidP="003348C8">
      <w:pPr>
        <w:pStyle w:val="Odstavecseseznamem"/>
        <w:numPr>
          <w:ilvl w:val="0"/>
          <w:numId w:val="5"/>
        </w:numPr>
        <w:ind w:left="360"/>
        <w:jc w:val="both"/>
        <w:rPr>
          <w:rFonts w:ascii="Arial" w:hAnsi="Arial" w:cs="Arial"/>
          <w:color w:val="000000" w:themeColor="text1"/>
        </w:rPr>
      </w:pPr>
      <w:r w:rsidRPr="009F4B52">
        <w:rPr>
          <w:rFonts w:ascii="Arial" w:hAnsi="Arial" w:cs="Arial"/>
          <w:color w:val="000000" w:themeColor="text1"/>
        </w:rPr>
        <w:t xml:space="preserve">nestanovil </w:t>
      </w:r>
      <w:r w:rsidR="00F87CD5">
        <w:rPr>
          <w:rFonts w:ascii="Arial" w:hAnsi="Arial" w:cs="Arial"/>
          <w:color w:val="000000" w:themeColor="text1"/>
        </w:rPr>
        <w:t>dostatečné</w:t>
      </w:r>
      <w:r w:rsidRPr="009F4B52">
        <w:rPr>
          <w:rFonts w:ascii="Arial" w:hAnsi="Arial" w:cs="Arial"/>
          <w:color w:val="000000" w:themeColor="text1"/>
        </w:rPr>
        <w:t xml:space="preserve"> podmínky pro </w:t>
      </w:r>
      <w:r w:rsidR="003348C8" w:rsidRPr="009F4B52">
        <w:rPr>
          <w:rFonts w:ascii="Arial" w:hAnsi="Arial" w:cs="Arial"/>
          <w:color w:val="000000" w:themeColor="text1"/>
        </w:rPr>
        <w:t>zajištění poskytování aktualizací</w:t>
      </w:r>
      <w:r w:rsidR="00AA64FD">
        <w:rPr>
          <w:rFonts w:ascii="Arial" w:hAnsi="Arial" w:cs="Arial"/>
          <w:color w:val="000000" w:themeColor="text1"/>
        </w:rPr>
        <w:t xml:space="preserve"> </w:t>
      </w:r>
      <w:r w:rsidR="003348C8" w:rsidRPr="009F4B52">
        <w:rPr>
          <w:rFonts w:ascii="Arial" w:hAnsi="Arial" w:cs="Arial"/>
          <w:color w:val="000000" w:themeColor="text1"/>
        </w:rPr>
        <w:t>/</w:t>
      </w:r>
      <w:r w:rsidR="00AA64FD">
        <w:rPr>
          <w:rFonts w:ascii="Arial" w:hAnsi="Arial" w:cs="Arial"/>
          <w:color w:val="000000" w:themeColor="text1"/>
        </w:rPr>
        <w:t xml:space="preserve"> </w:t>
      </w:r>
      <w:r w:rsidR="003348C8" w:rsidRPr="009F4B52">
        <w:rPr>
          <w:rFonts w:ascii="Arial" w:hAnsi="Arial" w:cs="Arial"/>
          <w:color w:val="000000" w:themeColor="text1"/>
        </w:rPr>
        <w:t>updatů dodávaného software;</w:t>
      </w:r>
    </w:p>
    <w:p w14:paraId="1E44D5D6" w14:textId="77777777" w:rsidR="003348C8" w:rsidRPr="009F4B52" w:rsidRDefault="003262AB" w:rsidP="003348C8">
      <w:pPr>
        <w:pStyle w:val="Odstavecseseznamem"/>
        <w:numPr>
          <w:ilvl w:val="0"/>
          <w:numId w:val="5"/>
        </w:numPr>
        <w:ind w:left="360"/>
        <w:jc w:val="both"/>
        <w:rPr>
          <w:rFonts w:ascii="Arial" w:hAnsi="Arial" w:cs="Arial"/>
          <w:color w:val="000000" w:themeColor="text1"/>
          <w:highlight w:val="yellow"/>
        </w:rPr>
      </w:pPr>
      <w:r>
        <w:rPr>
          <w:rFonts w:ascii="Arial" w:hAnsi="Arial" w:cs="Arial"/>
          <w:color w:val="000000" w:themeColor="text1"/>
          <w:highlight w:val="yellow"/>
        </w:rPr>
        <w:t>nestanovil</w:t>
      </w:r>
      <w:r w:rsidR="00F87CD5">
        <w:rPr>
          <w:rFonts w:ascii="Arial" w:hAnsi="Arial" w:cs="Arial"/>
          <w:color w:val="000000" w:themeColor="text1"/>
          <w:highlight w:val="yellow"/>
        </w:rPr>
        <w:t xml:space="preserve"> </w:t>
      </w:r>
      <w:r>
        <w:rPr>
          <w:rFonts w:ascii="Arial" w:hAnsi="Arial" w:cs="Arial"/>
          <w:color w:val="000000" w:themeColor="text1"/>
          <w:highlight w:val="yellow"/>
        </w:rPr>
        <w:t>/</w:t>
      </w:r>
      <w:r w:rsidR="00F87CD5">
        <w:rPr>
          <w:rFonts w:ascii="Arial" w:hAnsi="Arial" w:cs="Arial"/>
          <w:color w:val="000000" w:themeColor="text1"/>
          <w:highlight w:val="yellow"/>
        </w:rPr>
        <w:t xml:space="preserve"> </w:t>
      </w:r>
      <w:r>
        <w:rPr>
          <w:rFonts w:ascii="Arial" w:hAnsi="Arial" w:cs="Arial"/>
          <w:color w:val="000000" w:themeColor="text1"/>
          <w:highlight w:val="yellow"/>
        </w:rPr>
        <w:t xml:space="preserve">stanovil nedostatečné </w:t>
      </w:r>
      <w:r w:rsidRPr="00F87CD5">
        <w:rPr>
          <w:rFonts w:ascii="Arial" w:hAnsi="Arial" w:cs="Arial"/>
          <w:color w:val="000000" w:themeColor="text1"/>
        </w:rPr>
        <w:t>smluvní sankce pro případ dodání software, který nebude způsobilý plnit předmět Veřejné zakázky</w:t>
      </w:r>
      <w:r w:rsidR="003348C8" w:rsidRPr="00F87CD5">
        <w:rPr>
          <w:rFonts w:ascii="Arial" w:hAnsi="Arial" w:cs="Arial"/>
          <w:color w:val="000000" w:themeColor="text1"/>
        </w:rPr>
        <w:t>;</w:t>
      </w:r>
    </w:p>
    <w:p w14:paraId="51CC2C49" w14:textId="77777777" w:rsidR="00E74B4B" w:rsidRPr="009F4B52" w:rsidRDefault="00E74B4B" w:rsidP="00E74B4B">
      <w:pPr>
        <w:pStyle w:val="Odstavecseseznamem"/>
        <w:numPr>
          <w:ilvl w:val="0"/>
          <w:numId w:val="5"/>
        </w:numPr>
        <w:ind w:left="360"/>
        <w:jc w:val="both"/>
        <w:rPr>
          <w:rFonts w:ascii="Arial" w:hAnsi="Arial" w:cs="Arial"/>
          <w:color w:val="000000" w:themeColor="text1"/>
        </w:rPr>
      </w:pPr>
      <w:r w:rsidRPr="009F4B52">
        <w:rPr>
          <w:rFonts w:ascii="Arial" w:hAnsi="Arial" w:cs="Arial"/>
          <w:color w:val="000000" w:themeColor="text1"/>
        </w:rPr>
        <w:t>nestanovil podmínky a hranici posouzení nabídkové ceny jako mimořádně nízké nabídkové ceny dle § 113 ZZVZ.</w:t>
      </w:r>
    </w:p>
    <w:p w14:paraId="20CBD98B" w14:textId="77777777" w:rsidR="00E74B4B" w:rsidRPr="009F4B52" w:rsidRDefault="00E74B4B" w:rsidP="00E74B4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6567FC" w14:textId="77777777" w:rsidR="00E74B4B" w:rsidRPr="009F4B52" w:rsidRDefault="00E74B4B" w:rsidP="00E74B4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4B52">
        <w:rPr>
          <w:rFonts w:ascii="Arial" w:hAnsi="Arial" w:cs="Arial"/>
          <w:color w:val="000000" w:themeColor="text1"/>
          <w:sz w:val="22"/>
          <w:szCs w:val="22"/>
        </w:rPr>
        <w:t>Stěžovatel dále v textu rozvádí, v čem konkrétně spatřuje poch</w:t>
      </w:r>
      <w:r w:rsidR="00513448">
        <w:rPr>
          <w:rFonts w:ascii="Arial" w:hAnsi="Arial" w:cs="Arial"/>
          <w:color w:val="000000" w:themeColor="text1"/>
          <w:sz w:val="22"/>
          <w:szCs w:val="22"/>
        </w:rPr>
        <w:t>ybení zadavatele při stanovení z</w:t>
      </w:r>
      <w:r w:rsidRPr="009F4B52">
        <w:rPr>
          <w:rFonts w:ascii="Arial" w:hAnsi="Arial" w:cs="Arial"/>
          <w:color w:val="000000" w:themeColor="text1"/>
          <w:sz w:val="22"/>
          <w:szCs w:val="22"/>
        </w:rPr>
        <w:t>adávacích podmínek.</w:t>
      </w:r>
      <w:r w:rsidR="00530F52" w:rsidRPr="009F4B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commentRangeStart w:id="4"/>
      <w:r w:rsidR="00530F52" w:rsidRPr="009F4B52">
        <w:rPr>
          <w:rFonts w:ascii="Arial" w:hAnsi="Arial" w:cs="Arial"/>
          <w:color w:val="000000" w:themeColor="text1"/>
          <w:sz w:val="22"/>
          <w:szCs w:val="22"/>
        </w:rPr>
        <w:t>Rovněž popisuje, proč považuje za nedostatečné důvody odmítnu</w:t>
      </w:r>
      <w:r w:rsidR="00513448">
        <w:rPr>
          <w:rFonts w:ascii="Arial" w:hAnsi="Arial" w:cs="Arial"/>
          <w:color w:val="000000" w:themeColor="text1"/>
          <w:sz w:val="22"/>
          <w:szCs w:val="22"/>
        </w:rPr>
        <w:t>tí stěžovatelova návrhu úprav z</w:t>
      </w:r>
      <w:r w:rsidR="00530F52" w:rsidRPr="009F4B52">
        <w:rPr>
          <w:rFonts w:ascii="Arial" w:hAnsi="Arial" w:cs="Arial"/>
          <w:color w:val="000000" w:themeColor="text1"/>
          <w:sz w:val="22"/>
          <w:szCs w:val="22"/>
        </w:rPr>
        <w:t>adávacích podmínek</w:t>
      </w:r>
      <w:r w:rsidR="00EC3714">
        <w:rPr>
          <w:rFonts w:ascii="Arial" w:hAnsi="Arial" w:cs="Arial"/>
          <w:color w:val="000000" w:themeColor="text1"/>
          <w:sz w:val="22"/>
          <w:szCs w:val="22"/>
        </w:rPr>
        <w:t xml:space="preserve"> Veřejné zakázky</w:t>
      </w:r>
      <w:r w:rsidR="00530F52" w:rsidRPr="009F4B52">
        <w:rPr>
          <w:rFonts w:ascii="Arial" w:hAnsi="Arial" w:cs="Arial"/>
          <w:color w:val="000000" w:themeColor="text1"/>
          <w:sz w:val="22"/>
          <w:szCs w:val="22"/>
        </w:rPr>
        <w:t xml:space="preserve"> dle vysvětlení ze dne </w:t>
      </w:r>
      <w:r w:rsidR="00530F52" w:rsidRPr="009F4B52">
        <w:rPr>
          <w:rFonts w:ascii="Arial" w:hAnsi="Arial" w:cs="Arial"/>
          <w:bCs/>
          <w:color w:val="000000" w:themeColor="text1"/>
          <w:sz w:val="22"/>
          <w:szCs w:val="22"/>
        </w:rPr>
        <w:t>[</w:t>
      </w:r>
      <w:r w:rsidR="00530F52" w:rsidRPr="009F4B52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DOPLNIT</w:t>
      </w:r>
      <w:r w:rsidR="00530F52" w:rsidRPr="009F4B52">
        <w:rPr>
          <w:rFonts w:ascii="Arial" w:hAnsi="Arial" w:cs="Arial"/>
          <w:bCs/>
          <w:color w:val="000000" w:themeColor="text1"/>
          <w:sz w:val="22"/>
          <w:szCs w:val="22"/>
        </w:rPr>
        <w:t>]</w:t>
      </w:r>
      <w:commentRangeEnd w:id="4"/>
      <w:r w:rsidR="00530F52" w:rsidRPr="009F4B52">
        <w:rPr>
          <w:rStyle w:val="Odkaznakoment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commentReference w:id="4"/>
      </w:r>
      <w:r w:rsidR="00530F52" w:rsidRPr="009F4B52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8531B1F" w14:textId="77777777" w:rsidR="00E74B4B" w:rsidRPr="009F4B52" w:rsidRDefault="00E74B4B" w:rsidP="00B276D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442F4E" w14:textId="77777777" w:rsidR="003348C8" w:rsidRPr="009F4B52" w:rsidRDefault="003348C8" w:rsidP="00B276D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D7A246" w14:textId="77777777" w:rsidR="003348C8" w:rsidRPr="009F4B52" w:rsidRDefault="003348C8" w:rsidP="003348C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F4B52">
        <w:rPr>
          <w:rFonts w:ascii="Arial" w:hAnsi="Arial" w:cs="Arial"/>
          <w:b/>
          <w:color w:val="000000" w:themeColor="text1"/>
          <w:sz w:val="22"/>
          <w:szCs w:val="22"/>
        </w:rPr>
        <w:t>II.</w:t>
      </w:r>
    </w:p>
    <w:p w14:paraId="74791039" w14:textId="77777777" w:rsidR="003348C8" w:rsidRPr="009F4B52" w:rsidRDefault="003348C8" w:rsidP="00B276D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704EC5" w14:textId="302641D7" w:rsidR="00F87CD5" w:rsidRDefault="003348C8" w:rsidP="003348C8">
      <w:pPr>
        <w:jc w:val="both"/>
        <w:rPr>
          <w:rFonts w:ascii="Arial" w:hAnsi="Arial" w:cs="Arial"/>
          <w:sz w:val="22"/>
          <w:szCs w:val="22"/>
        </w:rPr>
      </w:pPr>
      <w:r w:rsidRPr="009F4B52">
        <w:rPr>
          <w:rFonts w:ascii="Arial" w:hAnsi="Arial" w:cs="Arial"/>
          <w:sz w:val="22"/>
          <w:szCs w:val="22"/>
        </w:rPr>
        <w:t xml:space="preserve">Předmětem Veřejné zakázky </w:t>
      </w:r>
      <w:r w:rsidRPr="009F4B52">
        <w:rPr>
          <w:rFonts w:ascii="Arial" w:hAnsi="Arial" w:cs="Arial"/>
          <w:sz w:val="22"/>
          <w:szCs w:val="22"/>
          <w:highlight w:val="yellow"/>
        </w:rPr>
        <w:t>je dodávka IT vybavení včetně software (operačního systému)</w:t>
      </w:r>
      <w:r w:rsidRPr="009F4B52">
        <w:rPr>
          <w:rFonts w:ascii="Arial" w:hAnsi="Arial" w:cs="Arial"/>
          <w:sz w:val="22"/>
          <w:szCs w:val="22"/>
        </w:rPr>
        <w:t>, tedy plnění podléhající autorským právům. Zadavatel umožňuje i dodání tzv. druhotných licencí, tedy licencí, které přímo od výrobce</w:t>
      </w:r>
      <w:r w:rsidR="00AA64FD">
        <w:rPr>
          <w:rFonts w:ascii="Arial" w:hAnsi="Arial" w:cs="Arial"/>
          <w:sz w:val="22"/>
          <w:szCs w:val="22"/>
        </w:rPr>
        <w:t xml:space="preserve"> </w:t>
      </w:r>
      <w:r w:rsidRPr="009F4B52">
        <w:rPr>
          <w:rFonts w:ascii="Arial" w:hAnsi="Arial" w:cs="Arial"/>
          <w:sz w:val="22"/>
          <w:szCs w:val="22"/>
        </w:rPr>
        <w:t>/</w:t>
      </w:r>
      <w:r w:rsidR="00AA64FD">
        <w:rPr>
          <w:rFonts w:ascii="Arial" w:hAnsi="Arial" w:cs="Arial"/>
          <w:sz w:val="22"/>
          <w:szCs w:val="22"/>
        </w:rPr>
        <w:t xml:space="preserve"> </w:t>
      </w:r>
      <w:r w:rsidRPr="009F4B52">
        <w:rPr>
          <w:rFonts w:ascii="Arial" w:hAnsi="Arial" w:cs="Arial"/>
          <w:sz w:val="22"/>
          <w:szCs w:val="22"/>
        </w:rPr>
        <w:t>oficiálního distributora zakoupil třetí subjekt, k</w:t>
      </w:r>
      <w:r w:rsidR="00F87CD5">
        <w:rPr>
          <w:rFonts w:ascii="Arial" w:hAnsi="Arial" w:cs="Arial"/>
          <w:sz w:val="22"/>
          <w:szCs w:val="22"/>
        </w:rPr>
        <w:t>terý je dále nabízí Zadavateli.</w:t>
      </w:r>
    </w:p>
    <w:p w14:paraId="668AC357" w14:textId="77777777" w:rsidR="00F87CD5" w:rsidRDefault="00F87CD5" w:rsidP="003348C8">
      <w:pPr>
        <w:jc w:val="both"/>
        <w:rPr>
          <w:rFonts w:ascii="Arial" w:hAnsi="Arial" w:cs="Arial"/>
          <w:sz w:val="22"/>
          <w:szCs w:val="22"/>
        </w:rPr>
      </w:pPr>
    </w:p>
    <w:p w14:paraId="7474D065" w14:textId="77777777" w:rsidR="0052258E" w:rsidRPr="009F4B52" w:rsidRDefault="0052258E" w:rsidP="003348C8">
      <w:pPr>
        <w:jc w:val="both"/>
        <w:rPr>
          <w:rFonts w:ascii="Arial" w:hAnsi="Arial" w:cs="Arial"/>
          <w:sz w:val="22"/>
          <w:szCs w:val="22"/>
        </w:rPr>
      </w:pPr>
      <w:r w:rsidRPr="009F4B52">
        <w:rPr>
          <w:rFonts w:ascii="Arial" w:hAnsi="Arial" w:cs="Arial"/>
          <w:sz w:val="22"/>
          <w:szCs w:val="22"/>
        </w:rPr>
        <w:t xml:space="preserve">V případě těchto licencí je obecně nezbytné kontrolovat jejich historii. Pro používání druhotných licencí a jejich </w:t>
      </w:r>
      <w:proofErr w:type="spellStart"/>
      <w:r w:rsidRPr="009F4B52">
        <w:rPr>
          <w:rFonts w:ascii="Arial" w:hAnsi="Arial" w:cs="Arial"/>
          <w:sz w:val="22"/>
          <w:szCs w:val="22"/>
        </w:rPr>
        <w:t>přeprodej</w:t>
      </w:r>
      <w:proofErr w:type="spellEnd"/>
      <w:r w:rsidRPr="009F4B52">
        <w:rPr>
          <w:rFonts w:ascii="Arial" w:hAnsi="Arial" w:cs="Arial"/>
          <w:sz w:val="22"/>
          <w:szCs w:val="22"/>
        </w:rPr>
        <w:t xml:space="preserve"> totiž platí striktní podmínky, které musí být splněny, aby nabyvatel mohl software používat </w:t>
      </w:r>
      <w:r w:rsidRPr="00AA64FD">
        <w:rPr>
          <w:rFonts w:ascii="Arial" w:hAnsi="Arial" w:cs="Arial"/>
          <w:sz w:val="22"/>
          <w:szCs w:val="22"/>
        </w:rPr>
        <w:t xml:space="preserve">legálně. </w:t>
      </w:r>
      <w:r w:rsidR="00F87CD5" w:rsidRPr="00AA64FD">
        <w:rPr>
          <w:rFonts w:ascii="Arial" w:hAnsi="Arial" w:cs="Arial"/>
          <w:sz w:val="22"/>
          <w:szCs w:val="22"/>
        </w:rPr>
        <w:t>To protože o</w:t>
      </w:r>
      <w:r w:rsidRPr="00AA64FD">
        <w:rPr>
          <w:rFonts w:ascii="Arial" w:hAnsi="Arial" w:cs="Arial"/>
          <w:sz w:val="22"/>
          <w:szCs w:val="22"/>
        </w:rPr>
        <w:t xml:space="preserve">dpovědnost za používaný software nemá dodavatel (druhotného software), </w:t>
      </w:r>
      <w:r w:rsidRPr="00AA64FD">
        <w:rPr>
          <w:rFonts w:ascii="Arial" w:hAnsi="Arial" w:cs="Arial"/>
          <w:b/>
          <w:sz w:val="22"/>
          <w:szCs w:val="22"/>
        </w:rPr>
        <w:t>ale ten kdo jej užív</w:t>
      </w:r>
      <w:r w:rsidR="00EC3714" w:rsidRPr="00AA64FD">
        <w:rPr>
          <w:rFonts w:ascii="Arial" w:hAnsi="Arial" w:cs="Arial"/>
          <w:b/>
          <w:sz w:val="22"/>
          <w:szCs w:val="22"/>
        </w:rPr>
        <w:t>á</w:t>
      </w:r>
      <w:r w:rsidRPr="00AA64FD">
        <w:rPr>
          <w:rFonts w:ascii="Arial" w:hAnsi="Arial" w:cs="Arial"/>
          <w:b/>
          <w:sz w:val="22"/>
          <w:szCs w:val="22"/>
        </w:rPr>
        <w:t>, v tomto případě zadavatel</w:t>
      </w:r>
      <w:r w:rsidRPr="00AA64FD">
        <w:rPr>
          <w:rFonts w:ascii="Arial" w:hAnsi="Arial" w:cs="Arial"/>
          <w:sz w:val="22"/>
          <w:szCs w:val="22"/>
        </w:rPr>
        <w:t>. Nelze proto vylo</w:t>
      </w:r>
      <w:r w:rsidR="00EC3714" w:rsidRPr="00AA64FD">
        <w:rPr>
          <w:rFonts w:ascii="Arial" w:hAnsi="Arial" w:cs="Arial"/>
          <w:sz w:val="22"/>
          <w:szCs w:val="22"/>
        </w:rPr>
        <w:t>učit, že původce softwaru bude z</w:t>
      </w:r>
      <w:r w:rsidRPr="00AA64FD">
        <w:rPr>
          <w:rFonts w:ascii="Arial" w:hAnsi="Arial" w:cs="Arial"/>
          <w:sz w:val="22"/>
          <w:szCs w:val="22"/>
        </w:rPr>
        <w:t xml:space="preserve">adavateli bránit v jeho dalším užívání, a případně požadovat náhradu </w:t>
      </w:r>
      <w:r w:rsidR="00F87CD5" w:rsidRPr="00AA64FD">
        <w:rPr>
          <w:rFonts w:ascii="Arial" w:hAnsi="Arial" w:cs="Arial"/>
          <w:sz w:val="22"/>
          <w:szCs w:val="22"/>
        </w:rPr>
        <w:t>újmy</w:t>
      </w:r>
      <w:r w:rsidRPr="00AA64FD">
        <w:rPr>
          <w:rFonts w:ascii="Arial" w:hAnsi="Arial" w:cs="Arial"/>
          <w:sz w:val="22"/>
          <w:szCs w:val="22"/>
        </w:rPr>
        <w:t xml:space="preserve"> apod.</w:t>
      </w:r>
    </w:p>
    <w:p w14:paraId="406BB332" w14:textId="77777777" w:rsidR="0052258E" w:rsidRPr="009F4B52" w:rsidRDefault="0052258E" w:rsidP="003348C8">
      <w:pPr>
        <w:jc w:val="both"/>
        <w:rPr>
          <w:rFonts w:ascii="Arial" w:hAnsi="Arial" w:cs="Arial"/>
          <w:sz w:val="22"/>
          <w:szCs w:val="22"/>
        </w:rPr>
      </w:pPr>
    </w:p>
    <w:p w14:paraId="7EC64C6B" w14:textId="1D00AB1E" w:rsidR="003348C8" w:rsidRPr="009F4B52" w:rsidRDefault="003348C8" w:rsidP="003348C8">
      <w:pPr>
        <w:jc w:val="both"/>
        <w:rPr>
          <w:rFonts w:ascii="Arial" w:hAnsi="Arial" w:cs="Arial"/>
          <w:sz w:val="22"/>
          <w:szCs w:val="22"/>
        </w:rPr>
      </w:pPr>
      <w:r w:rsidRPr="009F4B52">
        <w:rPr>
          <w:rFonts w:ascii="Arial" w:hAnsi="Arial" w:cs="Arial"/>
          <w:sz w:val="22"/>
          <w:szCs w:val="22"/>
        </w:rPr>
        <w:t xml:space="preserve">Dle </w:t>
      </w:r>
      <w:r w:rsidRPr="009F4B52">
        <w:rPr>
          <w:rFonts w:ascii="Arial" w:hAnsi="Arial" w:cs="Arial"/>
          <w:sz w:val="22"/>
          <w:szCs w:val="22"/>
          <w:highlight w:val="yellow"/>
        </w:rPr>
        <w:t>čl./odst.</w:t>
      </w:r>
      <w:r w:rsidRPr="009F4B52">
        <w:rPr>
          <w:rFonts w:ascii="Arial" w:hAnsi="Arial" w:cs="Arial"/>
          <w:sz w:val="22"/>
          <w:szCs w:val="22"/>
        </w:rPr>
        <w:t xml:space="preserve"> </w:t>
      </w:r>
      <w:r w:rsidRPr="009F4B52">
        <w:rPr>
          <w:rFonts w:ascii="Arial" w:hAnsi="Arial" w:cs="Arial"/>
          <w:sz w:val="22"/>
          <w:szCs w:val="22"/>
          <w:highlight w:val="yellow"/>
        </w:rPr>
        <w:t>[DOPLNIT]</w:t>
      </w:r>
      <w:r w:rsidRPr="009F4B52">
        <w:rPr>
          <w:rFonts w:ascii="Arial" w:hAnsi="Arial" w:cs="Arial"/>
          <w:sz w:val="22"/>
          <w:szCs w:val="22"/>
        </w:rPr>
        <w:t xml:space="preserve"> přílohy č. </w:t>
      </w:r>
      <w:r w:rsidRPr="009F4B52">
        <w:rPr>
          <w:rFonts w:ascii="Arial" w:hAnsi="Arial" w:cs="Arial"/>
          <w:sz w:val="22"/>
          <w:szCs w:val="22"/>
          <w:highlight w:val="yellow"/>
        </w:rPr>
        <w:t>[DOPLNIT]</w:t>
      </w:r>
      <w:r w:rsidR="003C66B4">
        <w:rPr>
          <w:rFonts w:ascii="Arial" w:hAnsi="Arial" w:cs="Arial"/>
          <w:sz w:val="22"/>
          <w:szCs w:val="22"/>
        </w:rPr>
        <w:t xml:space="preserve"> Z</w:t>
      </w:r>
      <w:r w:rsidRPr="009F4B52">
        <w:rPr>
          <w:rFonts w:ascii="Arial" w:hAnsi="Arial" w:cs="Arial"/>
          <w:sz w:val="22"/>
          <w:szCs w:val="22"/>
        </w:rPr>
        <w:t>adávací dokumentace, smlouvy na Veřejnou zakázku (dále jen „</w:t>
      </w:r>
      <w:r w:rsidRPr="009F4B52">
        <w:rPr>
          <w:rFonts w:ascii="Arial" w:hAnsi="Arial" w:cs="Arial"/>
          <w:b/>
          <w:sz w:val="22"/>
          <w:szCs w:val="22"/>
        </w:rPr>
        <w:t>Smlouva</w:t>
      </w:r>
      <w:r w:rsidRPr="009F4B52">
        <w:rPr>
          <w:rFonts w:ascii="Arial" w:hAnsi="Arial" w:cs="Arial"/>
          <w:sz w:val="22"/>
          <w:szCs w:val="22"/>
        </w:rPr>
        <w:t xml:space="preserve">“), a </w:t>
      </w:r>
      <w:r w:rsidRPr="009F4B52">
        <w:rPr>
          <w:rFonts w:ascii="Arial" w:hAnsi="Arial" w:cs="Arial"/>
          <w:sz w:val="22"/>
          <w:szCs w:val="22"/>
          <w:highlight w:val="yellow"/>
        </w:rPr>
        <w:t>přílohy č. [DOPLNIT] S</w:t>
      </w:r>
      <w:r w:rsidR="00EC3714">
        <w:rPr>
          <w:rFonts w:ascii="Arial" w:hAnsi="Arial" w:cs="Arial"/>
          <w:sz w:val="22"/>
          <w:szCs w:val="22"/>
          <w:highlight w:val="yellow"/>
        </w:rPr>
        <w:t>mlouvy, technické specifikace, z</w:t>
      </w:r>
      <w:r w:rsidRPr="009F4B52">
        <w:rPr>
          <w:rFonts w:ascii="Arial" w:hAnsi="Arial" w:cs="Arial"/>
          <w:sz w:val="22"/>
          <w:szCs w:val="22"/>
          <w:highlight w:val="yellow"/>
        </w:rPr>
        <w:t>adavatel požaduje</w:t>
      </w:r>
      <w:r w:rsidR="006C156F">
        <w:rPr>
          <w:rFonts w:ascii="Arial" w:hAnsi="Arial" w:cs="Arial"/>
          <w:sz w:val="22"/>
          <w:szCs w:val="22"/>
          <w:highlight w:val="yellow"/>
        </w:rPr>
        <w:t xml:space="preserve">: </w:t>
      </w:r>
      <w:r w:rsidR="00A60916">
        <w:rPr>
          <w:rFonts w:ascii="Arial" w:hAnsi="Arial" w:cs="Arial"/>
          <w:sz w:val="22"/>
          <w:szCs w:val="22"/>
          <w:highlight w:val="yellow"/>
        </w:rPr>
        <w:t>[</w:t>
      </w:r>
      <w:r w:rsidR="006C156F">
        <w:rPr>
          <w:rFonts w:ascii="Arial" w:hAnsi="Arial" w:cs="Arial"/>
          <w:sz w:val="22"/>
          <w:szCs w:val="22"/>
          <w:highlight w:val="yellow"/>
        </w:rPr>
        <w:t>DOPLNIT</w:t>
      </w:r>
      <w:r w:rsidR="00A60916">
        <w:rPr>
          <w:rFonts w:ascii="Arial" w:hAnsi="Arial" w:cs="Arial"/>
          <w:sz w:val="22"/>
          <w:szCs w:val="22"/>
          <w:highlight w:val="yellow"/>
        </w:rPr>
        <w:t>]</w:t>
      </w:r>
      <w:r w:rsidR="006C156F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97755">
        <w:rPr>
          <w:rFonts w:ascii="Arial" w:hAnsi="Arial" w:cs="Arial"/>
          <w:sz w:val="22"/>
          <w:szCs w:val="22"/>
          <w:highlight w:val="yellow"/>
          <w:lang w:val="en-US"/>
        </w:rPr>
        <w:t>(</w:t>
      </w:r>
      <w:r w:rsidR="001E4A2D">
        <w:rPr>
          <w:rFonts w:ascii="Arial" w:hAnsi="Arial" w:cs="Arial"/>
          <w:sz w:val="22"/>
          <w:szCs w:val="22"/>
          <w:highlight w:val="yellow"/>
        </w:rPr>
        <w:t>příklad</w:t>
      </w:r>
      <w:r w:rsidR="006C156F">
        <w:rPr>
          <w:rFonts w:ascii="Arial" w:hAnsi="Arial" w:cs="Arial"/>
          <w:sz w:val="22"/>
          <w:szCs w:val="22"/>
          <w:highlight w:val="yellow"/>
        </w:rPr>
        <w:t xml:space="preserve">: </w:t>
      </w:r>
      <w:r w:rsidRPr="006C156F">
        <w:rPr>
          <w:rFonts w:ascii="Arial" w:hAnsi="Arial" w:cs="Arial"/>
          <w:i/>
          <w:iCs/>
          <w:sz w:val="22"/>
          <w:szCs w:val="22"/>
          <w:highlight w:val="yellow"/>
        </w:rPr>
        <w:t>předinstalovaný operační systém - OS OEM MS Windows 10 Professional CZ 64 bit</w:t>
      </w:r>
      <w:r w:rsidR="006C156F" w:rsidRPr="00A97755">
        <w:rPr>
          <w:rFonts w:ascii="Arial" w:hAnsi="Arial" w:cs="Arial"/>
          <w:iCs/>
          <w:sz w:val="22"/>
          <w:szCs w:val="22"/>
          <w:highlight w:val="yellow"/>
          <w:lang w:val="en-US"/>
        </w:rPr>
        <w:t>)</w:t>
      </w:r>
      <w:r w:rsidRPr="006C156F">
        <w:rPr>
          <w:rFonts w:ascii="Arial" w:hAnsi="Arial" w:cs="Arial"/>
          <w:i/>
          <w:iCs/>
          <w:sz w:val="22"/>
          <w:szCs w:val="22"/>
          <w:highlight w:val="yellow"/>
        </w:rPr>
        <w:t>.</w:t>
      </w:r>
      <w:r w:rsidRPr="009F4B52">
        <w:rPr>
          <w:rFonts w:ascii="Arial" w:hAnsi="Arial" w:cs="Arial"/>
          <w:sz w:val="22"/>
          <w:szCs w:val="22"/>
          <w:highlight w:val="yellow"/>
        </w:rPr>
        <w:t xml:space="preserve"> Dále nejsou podmínky dodání předmětu plnění specifikovány</w:t>
      </w:r>
      <w:r w:rsidR="00530F52" w:rsidRPr="009F4B52">
        <w:rPr>
          <w:rFonts w:ascii="Arial" w:hAnsi="Arial" w:cs="Arial"/>
          <w:sz w:val="22"/>
          <w:szCs w:val="22"/>
          <w:highlight w:val="yellow"/>
        </w:rPr>
        <w:t>, a to ani s ohledem na možnost dodání druhotného software</w:t>
      </w:r>
      <w:r w:rsidRPr="009F4B52">
        <w:rPr>
          <w:rFonts w:ascii="Arial" w:hAnsi="Arial" w:cs="Arial"/>
          <w:sz w:val="22"/>
          <w:szCs w:val="22"/>
          <w:highlight w:val="yellow"/>
        </w:rPr>
        <w:t>.</w:t>
      </w:r>
      <w:r w:rsidR="00530F52" w:rsidRPr="009F4B52">
        <w:rPr>
          <w:rFonts w:ascii="Arial" w:hAnsi="Arial" w:cs="Arial"/>
          <w:sz w:val="22"/>
          <w:szCs w:val="22"/>
        </w:rPr>
        <w:t xml:space="preserve"> </w:t>
      </w:r>
      <w:r w:rsidR="00530F52" w:rsidRPr="009F4B52">
        <w:rPr>
          <w:rFonts w:ascii="Arial" w:hAnsi="Arial" w:cs="Arial"/>
          <w:sz w:val="22"/>
          <w:szCs w:val="22"/>
          <w:highlight w:val="yellow"/>
        </w:rPr>
        <w:t xml:space="preserve">Aktualizace a update dodaného software si zadavatel zajistil pouze na základě čl./odst. </w:t>
      </w:r>
      <w:r w:rsidR="00530F52" w:rsidRPr="009F4B52">
        <w:rPr>
          <w:rFonts w:ascii="Arial" w:hAnsi="Arial" w:cs="Arial"/>
          <w:sz w:val="22"/>
          <w:szCs w:val="22"/>
          <w:highlight w:val="yellow"/>
        </w:rPr>
        <w:lastRenderedPageBreak/>
        <w:t>[DOPLNIT] Smlouvy, a nepožaduje předchozí prokázání</w:t>
      </w:r>
      <w:r w:rsidR="00F87CD5">
        <w:rPr>
          <w:rFonts w:ascii="Arial" w:hAnsi="Arial" w:cs="Arial"/>
          <w:sz w:val="22"/>
          <w:szCs w:val="22"/>
          <w:highlight w:val="yellow"/>
        </w:rPr>
        <w:t>,</w:t>
      </w:r>
      <w:r w:rsidR="00530F52" w:rsidRPr="009F4B52">
        <w:rPr>
          <w:rFonts w:ascii="Arial" w:hAnsi="Arial" w:cs="Arial"/>
          <w:sz w:val="22"/>
          <w:szCs w:val="22"/>
          <w:highlight w:val="yellow"/>
        </w:rPr>
        <w:t xml:space="preserve"> že dodavatel jejich poskytování skutečně zajistí.</w:t>
      </w:r>
    </w:p>
    <w:p w14:paraId="186E9B1C" w14:textId="77777777" w:rsidR="00377B62" w:rsidRPr="009F4B52" w:rsidRDefault="00377B62" w:rsidP="00377B62">
      <w:pPr>
        <w:jc w:val="both"/>
        <w:rPr>
          <w:rFonts w:ascii="Arial" w:hAnsi="Arial" w:cs="Arial"/>
          <w:sz w:val="22"/>
          <w:szCs w:val="22"/>
        </w:rPr>
      </w:pPr>
    </w:p>
    <w:p w14:paraId="66414CEC" w14:textId="77777777" w:rsidR="00377B62" w:rsidRPr="00F87CD5" w:rsidRDefault="00530F52" w:rsidP="00377B62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4B52">
        <w:rPr>
          <w:rFonts w:ascii="Arial" w:hAnsi="Arial" w:cs="Arial"/>
          <w:b/>
          <w:smallCaps/>
          <w:color w:val="000000" w:themeColor="text1"/>
          <w:sz w:val="22"/>
          <w:szCs w:val="22"/>
        </w:rPr>
        <w:t>N</w:t>
      </w:r>
      <w:r w:rsidR="00513448">
        <w:rPr>
          <w:rFonts w:ascii="Arial" w:hAnsi="Arial" w:cs="Arial"/>
          <w:b/>
          <w:smallCaps/>
          <w:color w:val="000000" w:themeColor="text1"/>
          <w:sz w:val="22"/>
          <w:szCs w:val="22"/>
        </w:rPr>
        <w:t>edostatečnost z</w:t>
      </w:r>
      <w:r w:rsidR="00377B62" w:rsidRPr="009F4B52">
        <w:rPr>
          <w:rFonts w:ascii="Arial" w:hAnsi="Arial" w:cs="Arial"/>
          <w:b/>
          <w:smallCaps/>
          <w:color w:val="000000" w:themeColor="text1"/>
          <w:sz w:val="22"/>
          <w:szCs w:val="22"/>
        </w:rPr>
        <w:t xml:space="preserve">adávacích podmínek k předejití dodání </w:t>
      </w:r>
      <w:r w:rsidR="00576D6F">
        <w:rPr>
          <w:rFonts w:ascii="Arial" w:hAnsi="Arial" w:cs="Arial"/>
          <w:b/>
          <w:smallCaps/>
          <w:color w:val="000000" w:themeColor="text1"/>
          <w:sz w:val="22"/>
          <w:szCs w:val="22"/>
        </w:rPr>
        <w:t>nelegálních</w:t>
      </w:r>
      <w:r w:rsidR="00F87CD5">
        <w:rPr>
          <w:rFonts w:ascii="Arial" w:hAnsi="Arial" w:cs="Arial"/>
          <w:b/>
          <w:smallCaps/>
          <w:color w:val="000000" w:themeColor="text1"/>
          <w:sz w:val="22"/>
          <w:szCs w:val="22"/>
        </w:rPr>
        <w:t xml:space="preserve"> druhotných licencí</w:t>
      </w:r>
    </w:p>
    <w:p w14:paraId="7230EC12" w14:textId="77777777" w:rsidR="00F87CD5" w:rsidRPr="009F4B52" w:rsidRDefault="00F87CD5" w:rsidP="00F87CD5">
      <w:pPr>
        <w:pStyle w:val="Default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DD75C9" w14:textId="2DA080D2" w:rsidR="009A191F" w:rsidRPr="009F4B52" w:rsidRDefault="00530F52" w:rsidP="00530F52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F4B52">
        <w:rPr>
          <w:rFonts w:ascii="Arial" w:hAnsi="Arial" w:cs="Arial"/>
          <w:sz w:val="22"/>
          <w:szCs w:val="22"/>
        </w:rPr>
        <w:t>Ohledně leg</w:t>
      </w:r>
      <w:r w:rsidR="003C66B4">
        <w:rPr>
          <w:rFonts w:ascii="Arial" w:hAnsi="Arial" w:cs="Arial"/>
          <w:sz w:val="22"/>
          <w:szCs w:val="22"/>
        </w:rPr>
        <w:t>álnosti nabízeného software se z</w:t>
      </w:r>
      <w:r w:rsidRPr="009F4B52">
        <w:rPr>
          <w:rFonts w:ascii="Arial" w:hAnsi="Arial" w:cs="Arial"/>
          <w:sz w:val="22"/>
          <w:szCs w:val="22"/>
        </w:rPr>
        <w:t xml:space="preserve">adavatel spoléhá na </w:t>
      </w:r>
      <w:r w:rsidRPr="009F4B52">
        <w:rPr>
          <w:rFonts w:ascii="Arial" w:hAnsi="Arial" w:cs="Arial"/>
          <w:sz w:val="22"/>
          <w:szCs w:val="22"/>
          <w:highlight w:val="yellow"/>
        </w:rPr>
        <w:t>čestné prohlášení / prohlášení dodavatele ve Smlouvě</w:t>
      </w:r>
      <w:r w:rsidRPr="009F4B52">
        <w:rPr>
          <w:rFonts w:ascii="Arial" w:hAnsi="Arial" w:cs="Arial"/>
          <w:sz w:val="22"/>
          <w:szCs w:val="22"/>
        </w:rPr>
        <w:t>. Ty ale nejsou dostačujícím důkazem o původu licence</w:t>
      </w:r>
      <w:r w:rsidR="00F87CD5">
        <w:rPr>
          <w:rFonts w:ascii="Arial" w:hAnsi="Arial" w:cs="Arial"/>
          <w:sz w:val="22"/>
          <w:szCs w:val="22"/>
        </w:rPr>
        <w:t>.</w:t>
      </w:r>
      <w:r w:rsidR="009A191F" w:rsidRPr="009F4B52">
        <w:rPr>
          <w:rFonts w:ascii="Arial" w:hAnsi="Arial" w:cs="Arial"/>
          <w:sz w:val="22"/>
          <w:szCs w:val="22"/>
        </w:rPr>
        <w:t xml:space="preserve"> </w:t>
      </w:r>
      <w:r w:rsidR="00F87CD5">
        <w:rPr>
          <w:rFonts w:ascii="Arial" w:hAnsi="Arial" w:cs="Arial"/>
          <w:sz w:val="22"/>
          <w:szCs w:val="22"/>
        </w:rPr>
        <w:t>J</w:t>
      </w:r>
      <w:r w:rsidR="009A191F" w:rsidRPr="009F4B52">
        <w:rPr>
          <w:rFonts w:ascii="Arial" w:hAnsi="Arial" w:cs="Arial"/>
          <w:sz w:val="22"/>
          <w:szCs w:val="22"/>
        </w:rPr>
        <w:t xml:space="preserve">ejich </w:t>
      </w:r>
      <w:r w:rsidR="00F87CD5">
        <w:rPr>
          <w:rFonts w:ascii="Arial" w:hAnsi="Arial" w:cs="Arial"/>
          <w:sz w:val="22"/>
          <w:szCs w:val="22"/>
        </w:rPr>
        <w:t>obsah</w:t>
      </w:r>
      <w:r w:rsidR="009A191F" w:rsidRPr="009F4B52">
        <w:rPr>
          <w:rFonts w:ascii="Arial" w:hAnsi="Arial" w:cs="Arial"/>
          <w:sz w:val="22"/>
          <w:szCs w:val="22"/>
        </w:rPr>
        <w:t xml:space="preserve"> je založen jen</w:t>
      </w:r>
      <w:r w:rsidR="006C156F">
        <w:rPr>
          <w:rFonts w:ascii="Arial" w:hAnsi="Arial" w:cs="Arial"/>
          <w:sz w:val="22"/>
          <w:szCs w:val="22"/>
        </w:rPr>
        <w:t xml:space="preserve"> na</w:t>
      </w:r>
      <w:r w:rsidR="009A191F" w:rsidRPr="009F4B52">
        <w:rPr>
          <w:rFonts w:ascii="Arial" w:hAnsi="Arial" w:cs="Arial"/>
          <w:sz w:val="22"/>
          <w:szCs w:val="22"/>
        </w:rPr>
        <w:t xml:space="preserve"> tvrzení dodavatele. Odpovědnost za používaný software ale nese zadavatel. Přenáší tedy na sebe neúměrné riziko spojené s případným používáním nelegálního software. Z toho může na straně zadavatele plynout výrazná újm</w:t>
      </w:r>
      <w:r w:rsidR="00F87CD5">
        <w:rPr>
          <w:rFonts w:ascii="Arial" w:hAnsi="Arial" w:cs="Arial"/>
          <w:sz w:val="22"/>
          <w:szCs w:val="22"/>
        </w:rPr>
        <w:t>a</w:t>
      </w:r>
      <w:r w:rsidR="009A191F" w:rsidRPr="009F4B52">
        <w:rPr>
          <w:rFonts w:ascii="Arial" w:hAnsi="Arial" w:cs="Arial"/>
          <w:sz w:val="22"/>
          <w:szCs w:val="22"/>
        </w:rPr>
        <w:t xml:space="preserve"> vyplývající z porušení autorského práva původce software. Jak je blíže popsáno dále v těchto námitkách, uvedená rizika zadavatel </w:t>
      </w:r>
      <w:commentRangeStart w:id="5"/>
      <w:r w:rsidR="009A191F" w:rsidRPr="00F87CD5">
        <w:rPr>
          <w:rFonts w:ascii="Arial" w:hAnsi="Arial" w:cs="Arial"/>
          <w:sz w:val="22"/>
          <w:szCs w:val="22"/>
          <w:highlight w:val="yellow"/>
        </w:rPr>
        <w:t>nezohledňuje ani ve Smlouvě</w:t>
      </w:r>
      <w:commentRangeEnd w:id="5"/>
      <w:r w:rsidR="00EC3714">
        <w:rPr>
          <w:rStyle w:val="Odkaznakoment"/>
          <w:rFonts w:asciiTheme="minorHAnsi" w:eastAsiaTheme="minorHAnsi" w:hAnsiTheme="minorHAnsi" w:cstheme="minorBidi"/>
          <w:color w:val="auto"/>
          <w:lang w:eastAsia="en-US"/>
        </w:rPr>
        <w:commentReference w:id="5"/>
      </w:r>
      <w:r w:rsidR="009A191F" w:rsidRPr="009F4B52">
        <w:rPr>
          <w:rFonts w:ascii="Arial" w:hAnsi="Arial" w:cs="Arial"/>
          <w:sz w:val="22"/>
          <w:szCs w:val="22"/>
        </w:rPr>
        <w:t>, a připravuje se tím o možnost vymáhat náhradu za újmu hrazenou nositeli autorských práv.</w:t>
      </w:r>
    </w:p>
    <w:p w14:paraId="1FFC749E" w14:textId="77777777" w:rsidR="009A191F" w:rsidRPr="009F4B52" w:rsidRDefault="009A191F" w:rsidP="00530F52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331287A6" w14:textId="77777777" w:rsidR="009A191F" w:rsidRPr="009F4B52" w:rsidRDefault="00530F52" w:rsidP="00530F52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2E1BAD">
        <w:rPr>
          <w:rFonts w:ascii="Arial" w:hAnsi="Arial" w:cs="Arial"/>
          <w:sz w:val="22"/>
          <w:szCs w:val="22"/>
        </w:rPr>
        <w:t>Zejména u počítačů dodaných bez operačních systémů a v případě dodání aktivačních klíčů k operačnímu systému samostatně je vysoké riziko, že dodaný aktivační klíč nepředstavuje řádnou licenci</w:t>
      </w:r>
      <w:r w:rsidRPr="009F4B52">
        <w:rPr>
          <w:rFonts w:ascii="Arial" w:hAnsi="Arial" w:cs="Arial"/>
          <w:sz w:val="22"/>
          <w:szCs w:val="22"/>
        </w:rPr>
        <w:t xml:space="preserve">. </w:t>
      </w:r>
      <w:r w:rsidRPr="009F4B52">
        <w:rPr>
          <w:rFonts w:ascii="Arial" w:hAnsi="Arial" w:cs="Arial"/>
          <w:color w:val="000000" w:themeColor="text1"/>
          <w:sz w:val="22"/>
          <w:szCs w:val="22"/>
        </w:rPr>
        <w:t>Zadavatelem</w:t>
      </w:r>
      <w:r w:rsidRPr="009F4B52">
        <w:rPr>
          <w:rFonts w:ascii="Arial" w:hAnsi="Arial" w:cs="Arial"/>
          <w:b/>
          <w:sz w:val="22"/>
          <w:szCs w:val="22"/>
        </w:rPr>
        <w:t xml:space="preserve"> nastavené zadávací podmínky Veřejné zakázky tak nezabrání tomu, aby některý z dodavatelů nabídl</w:t>
      </w:r>
      <w:r w:rsidR="009A191F" w:rsidRPr="009F4B52">
        <w:rPr>
          <w:rFonts w:ascii="Arial" w:hAnsi="Arial" w:cs="Arial"/>
          <w:b/>
          <w:sz w:val="22"/>
          <w:szCs w:val="22"/>
        </w:rPr>
        <w:t>:</w:t>
      </w:r>
    </w:p>
    <w:p w14:paraId="68EAB242" w14:textId="6ED1E584" w:rsidR="009A191F" w:rsidRPr="009F4B52" w:rsidRDefault="00530F52" w:rsidP="009A191F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3714">
        <w:rPr>
          <w:rFonts w:ascii="Arial" w:hAnsi="Arial" w:cs="Arial"/>
          <w:b/>
        </w:rPr>
        <w:t>software, který dodavatel získal pouze pronájmem, a tedy jej nemůže převést</w:t>
      </w:r>
      <w:r w:rsidR="00AA64FD">
        <w:rPr>
          <w:rFonts w:ascii="Arial" w:hAnsi="Arial" w:cs="Arial"/>
        </w:rPr>
        <w:t xml:space="preserve"> (k </w:t>
      </w:r>
      <w:r w:rsidRPr="009F4B52">
        <w:rPr>
          <w:rFonts w:ascii="Arial" w:hAnsi="Arial" w:cs="Arial"/>
        </w:rPr>
        <w:t>rozmnože</w:t>
      </w:r>
      <w:r w:rsidR="009A191F" w:rsidRPr="009F4B52">
        <w:rPr>
          <w:rFonts w:ascii="Arial" w:hAnsi="Arial" w:cs="Arial"/>
        </w:rPr>
        <w:t>nině nenabyl vlastnické právo)</w:t>
      </w:r>
      <w:r w:rsidR="00F62578" w:rsidRPr="009F4B52">
        <w:rPr>
          <w:rFonts w:ascii="Arial" w:hAnsi="Arial" w:cs="Arial"/>
        </w:rPr>
        <w:t xml:space="preserve"> – nemůže převést více práv, než sám má;</w:t>
      </w:r>
    </w:p>
    <w:p w14:paraId="0EC58EB5" w14:textId="77777777" w:rsidR="00F62578" w:rsidRPr="009F4B52" w:rsidRDefault="00530F52" w:rsidP="009A191F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3714">
        <w:rPr>
          <w:rFonts w:ascii="Arial" w:hAnsi="Arial" w:cs="Arial"/>
          <w:b/>
        </w:rPr>
        <w:t>licence původně určené pro specifické účely</w:t>
      </w:r>
      <w:r w:rsidRPr="009F4B52">
        <w:rPr>
          <w:rFonts w:ascii="Arial" w:hAnsi="Arial" w:cs="Arial"/>
        </w:rPr>
        <w:t xml:space="preserve"> (výzkum, vývoj, školství apod.)</w:t>
      </w:r>
      <w:r w:rsidR="00F62578" w:rsidRPr="009F4B52">
        <w:rPr>
          <w:rFonts w:ascii="Arial" w:hAnsi="Arial" w:cs="Arial"/>
        </w:rPr>
        <w:t xml:space="preserve"> – </w:t>
      </w:r>
      <w:r w:rsidR="005E2CDE" w:rsidRPr="009F4B52">
        <w:rPr>
          <w:rFonts w:ascii="Arial" w:hAnsi="Arial" w:cs="Arial"/>
        </w:rPr>
        <w:t>účelovost těchto licencí znemožňuje jejich použití pro plnění předmětu Veřejné zakázky;</w:t>
      </w:r>
    </w:p>
    <w:p w14:paraId="4C006B7A" w14:textId="77777777" w:rsidR="009A191F" w:rsidRPr="009F4B52" w:rsidRDefault="00530F52" w:rsidP="009A191F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3714">
        <w:rPr>
          <w:rFonts w:ascii="Arial" w:hAnsi="Arial" w:cs="Arial"/>
          <w:b/>
        </w:rPr>
        <w:t>licence poskytnuté původcem zdarma, čímž nedojde k vyčerpán</w:t>
      </w:r>
      <w:r w:rsidR="009A191F" w:rsidRPr="00EC3714">
        <w:rPr>
          <w:rFonts w:ascii="Arial" w:hAnsi="Arial" w:cs="Arial"/>
          <w:b/>
        </w:rPr>
        <w:t>í práva původce k</w:t>
      </w:r>
      <w:r w:rsidR="00F62578" w:rsidRPr="00EC3714">
        <w:rPr>
          <w:rFonts w:ascii="Arial" w:hAnsi="Arial" w:cs="Arial"/>
          <w:b/>
        </w:rPr>
        <w:t> </w:t>
      </w:r>
      <w:r w:rsidR="009A191F" w:rsidRPr="00EC3714">
        <w:rPr>
          <w:rFonts w:ascii="Arial" w:hAnsi="Arial" w:cs="Arial"/>
          <w:b/>
        </w:rPr>
        <w:t>rozmnoženině</w:t>
      </w:r>
      <w:r w:rsidR="00F62578" w:rsidRPr="009F4B52">
        <w:rPr>
          <w:rFonts w:ascii="Arial" w:hAnsi="Arial" w:cs="Arial"/>
        </w:rPr>
        <w:t xml:space="preserve"> – </w:t>
      </w:r>
      <w:r w:rsidR="005E2CDE" w:rsidRPr="009F4B52">
        <w:rPr>
          <w:rFonts w:ascii="Arial" w:hAnsi="Arial" w:cs="Arial"/>
        </w:rPr>
        <w:t xml:space="preserve">podmínkou dalšího prodeje software je, že jej </w:t>
      </w:r>
      <w:r w:rsidR="00A71363">
        <w:rPr>
          <w:rFonts w:ascii="Arial" w:hAnsi="Arial" w:cs="Arial"/>
        </w:rPr>
        <w:t>první nabyvatel</w:t>
      </w:r>
      <w:r w:rsidR="005E2CDE" w:rsidRPr="009F4B52">
        <w:rPr>
          <w:rFonts w:ascii="Arial" w:hAnsi="Arial" w:cs="Arial"/>
        </w:rPr>
        <w:t xml:space="preserve"> </w:t>
      </w:r>
      <w:r w:rsidR="00A71363">
        <w:rPr>
          <w:rFonts w:ascii="Arial" w:hAnsi="Arial" w:cs="Arial"/>
        </w:rPr>
        <w:t>nabyl</w:t>
      </w:r>
      <w:r w:rsidR="005E2CDE" w:rsidRPr="009F4B52">
        <w:rPr>
          <w:rFonts w:ascii="Arial" w:hAnsi="Arial" w:cs="Arial"/>
        </w:rPr>
        <w:t xml:space="preserve"> od původce za úplatu</w:t>
      </w:r>
      <w:r w:rsidR="00F62578" w:rsidRPr="009F4B52">
        <w:rPr>
          <w:rFonts w:ascii="Arial" w:hAnsi="Arial" w:cs="Arial"/>
        </w:rPr>
        <w:t>;</w:t>
      </w:r>
    </w:p>
    <w:p w14:paraId="47280A3A" w14:textId="79BFDD4D" w:rsidR="009A191F" w:rsidRPr="009F4B52" w:rsidRDefault="00530F52" w:rsidP="009A191F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3714">
        <w:rPr>
          <w:rFonts w:ascii="Arial" w:hAnsi="Arial" w:cs="Arial"/>
          <w:b/>
        </w:rPr>
        <w:t>tzv. rozdělen</w:t>
      </w:r>
      <w:r w:rsidR="00A71363" w:rsidRPr="00EC3714">
        <w:rPr>
          <w:rFonts w:ascii="Arial" w:hAnsi="Arial" w:cs="Arial"/>
          <w:b/>
        </w:rPr>
        <w:t>ou</w:t>
      </w:r>
      <w:r w:rsidRPr="00EC3714">
        <w:rPr>
          <w:rFonts w:ascii="Arial" w:hAnsi="Arial" w:cs="Arial"/>
          <w:b/>
        </w:rPr>
        <w:t xml:space="preserve"> licenc</w:t>
      </w:r>
      <w:r w:rsidR="00A71363" w:rsidRPr="00EC3714">
        <w:rPr>
          <w:rFonts w:ascii="Arial" w:hAnsi="Arial" w:cs="Arial"/>
          <w:b/>
        </w:rPr>
        <w:t>i</w:t>
      </w:r>
      <w:r w:rsidRPr="00EC3714">
        <w:rPr>
          <w:rFonts w:ascii="Arial" w:hAnsi="Arial" w:cs="Arial"/>
          <w:b/>
        </w:rPr>
        <w:t>, tedy licenc</w:t>
      </w:r>
      <w:r w:rsidR="00A71363" w:rsidRPr="00EC3714">
        <w:rPr>
          <w:rFonts w:ascii="Arial" w:hAnsi="Arial" w:cs="Arial"/>
          <w:b/>
        </w:rPr>
        <w:t>i (její část)</w:t>
      </w:r>
      <w:r w:rsidRPr="00EC3714">
        <w:rPr>
          <w:rFonts w:ascii="Arial" w:hAnsi="Arial" w:cs="Arial"/>
          <w:b/>
        </w:rPr>
        <w:t xml:space="preserve"> druhotně prodan</w:t>
      </w:r>
      <w:r w:rsidR="00A71363" w:rsidRPr="00EC3714">
        <w:rPr>
          <w:rFonts w:ascii="Arial" w:hAnsi="Arial" w:cs="Arial"/>
          <w:b/>
        </w:rPr>
        <w:t>ou</w:t>
      </w:r>
      <w:r w:rsidRPr="00EC3714">
        <w:rPr>
          <w:rFonts w:ascii="Arial" w:hAnsi="Arial" w:cs="Arial"/>
          <w:b/>
        </w:rPr>
        <w:t xml:space="preserve"> většímu počtu uživa</w:t>
      </w:r>
      <w:r w:rsidR="009A191F" w:rsidRPr="00EC3714">
        <w:rPr>
          <w:rFonts w:ascii="Arial" w:hAnsi="Arial" w:cs="Arial"/>
          <w:b/>
        </w:rPr>
        <w:t>telů, než jakému byl</w:t>
      </w:r>
      <w:r w:rsidR="00A71363" w:rsidRPr="00EC3714">
        <w:rPr>
          <w:rFonts w:ascii="Arial" w:hAnsi="Arial" w:cs="Arial"/>
          <w:b/>
        </w:rPr>
        <w:t>a</w:t>
      </w:r>
      <w:r w:rsidR="009A191F" w:rsidRPr="00EC3714">
        <w:rPr>
          <w:rFonts w:ascii="Arial" w:hAnsi="Arial" w:cs="Arial"/>
          <w:b/>
        </w:rPr>
        <w:t xml:space="preserve"> určen</w:t>
      </w:r>
      <w:r w:rsidR="00A71363" w:rsidRPr="00EC3714">
        <w:rPr>
          <w:rFonts w:ascii="Arial" w:hAnsi="Arial" w:cs="Arial"/>
          <w:b/>
        </w:rPr>
        <w:t>a</w:t>
      </w:r>
      <w:r w:rsidR="005E2CDE" w:rsidRPr="009F4B52">
        <w:rPr>
          <w:rFonts w:ascii="Arial" w:hAnsi="Arial" w:cs="Arial"/>
        </w:rPr>
        <w:t xml:space="preserve"> – i pokud jsou splněny předchozí podmínky, jakmile prodávající licenc</w:t>
      </w:r>
      <w:r w:rsidR="00A71363">
        <w:rPr>
          <w:rFonts w:ascii="Arial" w:hAnsi="Arial" w:cs="Arial"/>
        </w:rPr>
        <w:t>i</w:t>
      </w:r>
      <w:r w:rsidR="005E2CDE" w:rsidRPr="009F4B52">
        <w:rPr>
          <w:rFonts w:ascii="Arial" w:hAnsi="Arial" w:cs="Arial"/>
        </w:rPr>
        <w:t xml:space="preserve"> převede jednou, ztratí tím k ní práva</w:t>
      </w:r>
      <w:r w:rsidR="00AA64FD">
        <w:rPr>
          <w:rFonts w:ascii="Arial" w:hAnsi="Arial" w:cs="Arial"/>
        </w:rPr>
        <w:t>,</w:t>
      </w:r>
      <w:r w:rsidR="005E2CDE" w:rsidRPr="009F4B52">
        <w:rPr>
          <w:rFonts w:ascii="Arial" w:hAnsi="Arial" w:cs="Arial"/>
        </w:rPr>
        <w:t xml:space="preserve"> a</w:t>
      </w:r>
      <w:r w:rsidR="00AA64FD">
        <w:rPr>
          <w:rFonts w:ascii="Arial" w:hAnsi="Arial" w:cs="Arial"/>
        </w:rPr>
        <w:t> </w:t>
      </w:r>
      <w:r w:rsidR="005E2CDE" w:rsidRPr="009F4B52">
        <w:rPr>
          <w:rFonts w:ascii="Arial" w:hAnsi="Arial" w:cs="Arial"/>
        </w:rPr>
        <w:t>v souladu se zásadou, že nikdo nemůže převést více práv, než sám má, nemají další nabyvatelé právo software používat.</w:t>
      </w:r>
    </w:p>
    <w:p w14:paraId="661D23EA" w14:textId="77777777" w:rsidR="009A191F" w:rsidRPr="009F4B52" w:rsidRDefault="009A191F" w:rsidP="00530F52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6F7C7D7" w14:textId="77777777" w:rsidR="00530F52" w:rsidRPr="009F4B52" w:rsidRDefault="005E2CDE" w:rsidP="00530F52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F4B52">
        <w:rPr>
          <w:rFonts w:ascii="Arial" w:hAnsi="Arial" w:cs="Arial"/>
          <w:sz w:val="22"/>
          <w:szCs w:val="22"/>
        </w:rPr>
        <w:t>Výše uvedené vyplývá z rozhodnutí</w:t>
      </w:r>
      <w:r w:rsidR="00530F52" w:rsidRPr="009F4B52">
        <w:rPr>
          <w:rFonts w:ascii="Arial" w:hAnsi="Arial" w:cs="Arial"/>
          <w:sz w:val="22"/>
          <w:szCs w:val="22"/>
        </w:rPr>
        <w:t xml:space="preserve"> Soudního dvora Evropské unie (dále jen „</w:t>
      </w:r>
      <w:r w:rsidR="00530F52" w:rsidRPr="009F4B52">
        <w:rPr>
          <w:rFonts w:ascii="Arial" w:hAnsi="Arial" w:cs="Arial"/>
          <w:b/>
          <w:sz w:val="22"/>
          <w:szCs w:val="22"/>
        </w:rPr>
        <w:t>SDEU</w:t>
      </w:r>
      <w:r w:rsidR="00530F52" w:rsidRPr="009F4B52">
        <w:rPr>
          <w:rFonts w:ascii="Arial" w:hAnsi="Arial" w:cs="Arial"/>
          <w:sz w:val="22"/>
          <w:szCs w:val="22"/>
        </w:rPr>
        <w:t>“).</w:t>
      </w:r>
      <w:r w:rsidRPr="009F4B52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530F52" w:rsidRPr="009F4B52">
        <w:rPr>
          <w:rFonts w:ascii="Arial" w:hAnsi="Arial" w:cs="Arial"/>
          <w:sz w:val="22"/>
          <w:szCs w:val="22"/>
        </w:rPr>
        <w:t xml:space="preserve"> </w:t>
      </w:r>
      <w:r w:rsidR="00530F52" w:rsidRPr="009F4B52">
        <w:rPr>
          <w:rFonts w:ascii="Arial" w:hAnsi="Arial" w:cs="Arial"/>
          <w:b/>
          <w:sz w:val="22"/>
          <w:szCs w:val="22"/>
        </w:rPr>
        <w:t>Ten pro dodání druhotného software stanovil striktní pravidla</w:t>
      </w:r>
      <w:r w:rsidR="00530F52" w:rsidRPr="009F4B52">
        <w:rPr>
          <w:rFonts w:ascii="Arial" w:hAnsi="Arial" w:cs="Arial"/>
          <w:sz w:val="22"/>
          <w:szCs w:val="22"/>
        </w:rPr>
        <w:t>:</w:t>
      </w:r>
    </w:p>
    <w:p w14:paraId="6ABA31EF" w14:textId="77777777" w:rsidR="00530F52" w:rsidRPr="009F4B52" w:rsidRDefault="00530F52" w:rsidP="00530F52">
      <w:pPr>
        <w:pStyle w:val="Odstavecseseznamem"/>
        <w:numPr>
          <w:ilvl w:val="0"/>
          <w:numId w:val="6"/>
        </w:numPr>
        <w:suppressAutoHyphens w:val="0"/>
        <w:contextualSpacing/>
        <w:jc w:val="both"/>
        <w:rPr>
          <w:rFonts w:ascii="Arial" w:hAnsi="Arial" w:cs="Arial"/>
        </w:rPr>
      </w:pPr>
      <w:r w:rsidRPr="009F4B52">
        <w:rPr>
          <w:rFonts w:ascii="Arial" w:hAnsi="Arial" w:cs="Arial"/>
        </w:rPr>
        <w:t xml:space="preserve">software byl uveden na trh prodejem </w:t>
      </w:r>
      <w:r w:rsidRPr="009F4B52">
        <w:rPr>
          <w:rFonts w:ascii="Arial" w:hAnsi="Arial" w:cs="Arial"/>
          <w:b/>
        </w:rPr>
        <w:t>v rámci EU, EHS nebo Švýcarska se souhlasem majitele autorských práv</w:t>
      </w:r>
      <w:r w:rsidRPr="009F4B52">
        <w:rPr>
          <w:rFonts w:ascii="Arial" w:hAnsi="Arial" w:cs="Arial"/>
        </w:rPr>
        <w:t>;</w:t>
      </w:r>
    </w:p>
    <w:p w14:paraId="041A8BD3" w14:textId="77777777" w:rsidR="00530F52" w:rsidRPr="009F4B52" w:rsidRDefault="00530F52" w:rsidP="00530F52">
      <w:pPr>
        <w:pStyle w:val="Odstavecseseznamem"/>
        <w:numPr>
          <w:ilvl w:val="0"/>
          <w:numId w:val="6"/>
        </w:numPr>
        <w:suppressAutoHyphens w:val="0"/>
        <w:contextualSpacing/>
        <w:jc w:val="both"/>
        <w:rPr>
          <w:rFonts w:ascii="Arial" w:hAnsi="Arial" w:cs="Arial"/>
        </w:rPr>
      </w:pPr>
      <w:r w:rsidRPr="009F4B52">
        <w:rPr>
          <w:rFonts w:ascii="Arial" w:hAnsi="Arial" w:cs="Arial"/>
        </w:rPr>
        <w:t xml:space="preserve">software </w:t>
      </w:r>
      <w:r w:rsidRPr="009F4B52">
        <w:rPr>
          <w:rFonts w:ascii="Arial" w:hAnsi="Arial" w:cs="Arial"/>
          <w:b/>
        </w:rPr>
        <w:t>byl poskytnut za úplatu</w:t>
      </w:r>
      <w:r w:rsidR="00C452FE" w:rsidRPr="009F4B52">
        <w:rPr>
          <w:rFonts w:ascii="Arial" w:hAnsi="Arial" w:cs="Arial"/>
          <w:b/>
        </w:rPr>
        <w:t xml:space="preserve"> – tedy ne zadarmo</w:t>
      </w:r>
      <w:r w:rsidRPr="009F4B52">
        <w:rPr>
          <w:rFonts w:ascii="Arial" w:hAnsi="Arial" w:cs="Arial"/>
        </w:rPr>
        <w:t>;</w:t>
      </w:r>
    </w:p>
    <w:p w14:paraId="0972C3A5" w14:textId="77777777" w:rsidR="00530F52" w:rsidRPr="009F4B52" w:rsidRDefault="00530F52" w:rsidP="00530F52">
      <w:pPr>
        <w:pStyle w:val="Odstavecseseznamem"/>
        <w:numPr>
          <w:ilvl w:val="0"/>
          <w:numId w:val="6"/>
        </w:numPr>
        <w:suppressAutoHyphens w:val="0"/>
        <w:contextualSpacing/>
        <w:jc w:val="both"/>
        <w:rPr>
          <w:rFonts w:ascii="Arial" w:hAnsi="Arial" w:cs="Arial"/>
        </w:rPr>
      </w:pPr>
      <w:r w:rsidRPr="009F4B52">
        <w:rPr>
          <w:rFonts w:ascii="Arial" w:hAnsi="Arial" w:cs="Arial"/>
        </w:rPr>
        <w:t xml:space="preserve">majitel autorského práva </w:t>
      </w:r>
      <w:r w:rsidRPr="009F4B52">
        <w:rPr>
          <w:rFonts w:ascii="Arial" w:hAnsi="Arial" w:cs="Arial"/>
          <w:b/>
        </w:rPr>
        <w:t>poskytnul prvnímu nabyvateli časově neomezenou licenci</w:t>
      </w:r>
      <w:r w:rsidRPr="009F4B52">
        <w:rPr>
          <w:rFonts w:ascii="Arial" w:hAnsi="Arial" w:cs="Arial"/>
        </w:rPr>
        <w:t xml:space="preserve"> k užívání rozmnoženiny daného software</w:t>
      </w:r>
      <w:r w:rsidR="00C452FE" w:rsidRPr="009F4B52">
        <w:rPr>
          <w:rFonts w:ascii="Arial" w:hAnsi="Arial" w:cs="Arial"/>
        </w:rPr>
        <w:t xml:space="preserve"> – tedy neposkytl omezenou licenci</w:t>
      </w:r>
      <w:r w:rsidRPr="009F4B52">
        <w:rPr>
          <w:rFonts w:ascii="Arial" w:hAnsi="Arial" w:cs="Arial"/>
        </w:rPr>
        <w:t>;</w:t>
      </w:r>
    </w:p>
    <w:p w14:paraId="12C847F1" w14:textId="77777777" w:rsidR="00C452FE" w:rsidRPr="009F4B52" w:rsidRDefault="00530F52" w:rsidP="00C452FE">
      <w:pPr>
        <w:pStyle w:val="Odstavecseseznamem"/>
        <w:numPr>
          <w:ilvl w:val="0"/>
          <w:numId w:val="6"/>
        </w:numPr>
        <w:suppressAutoHyphens w:val="0"/>
        <w:contextualSpacing/>
        <w:jc w:val="both"/>
        <w:rPr>
          <w:rFonts w:ascii="Arial" w:hAnsi="Arial" w:cs="Arial"/>
        </w:rPr>
      </w:pPr>
      <w:r w:rsidRPr="009F4B52">
        <w:rPr>
          <w:rFonts w:ascii="Arial" w:hAnsi="Arial" w:cs="Arial"/>
        </w:rPr>
        <w:t xml:space="preserve">každý </w:t>
      </w:r>
      <w:r w:rsidRPr="009F4B52">
        <w:rPr>
          <w:rFonts w:ascii="Arial" w:hAnsi="Arial" w:cs="Arial"/>
          <w:b/>
        </w:rPr>
        <w:t>předchozí nabyvatel musí v okamžiku prodeje učinit svoji rozmnoženinu nepoužitelnou</w:t>
      </w:r>
      <w:r w:rsidRPr="009F4B52">
        <w:rPr>
          <w:rFonts w:ascii="Arial" w:hAnsi="Arial" w:cs="Arial"/>
        </w:rPr>
        <w:t xml:space="preserve"> (odinstalovat ji).</w:t>
      </w:r>
    </w:p>
    <w:p w14:paraId="287CA877" w14:textId="77777777" w:rsidR="00530F52" w:rsidRPr="009F4B52" w:rsidRDefault="00530F52" w:rsidP="00530F5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935F644" w14:textId="3CB63BEE" w:rsidR="00CD3305" w:rsidRDefault="00CD3305" w:rsidP="002D71F9">
      <w:pPr>
        <w:ind w:left="426"/>
        <w:jc w:val="both"/>
        <w:rPr>
          <w:rFonts w:ascii="Arial" w:hAnsi="Arial" w:cs="Arial"/>
          <w:sz w:val="22"/>
          <w:szCs w:val="22"/>
        </w:rPr>
      </w:pPr>
      <w:r w:rsidRPr="002E1BAD">
        <w:rPr>
          <w:rFonts w:ascii="Arial" w:hAnsi="Arial" w:cs="Arial"/>
          <w:sz w:val="22"/>
          <w:szCs w:val="22"/>
        </w:rPr>
        <w:t>Nedodržením popsaných pravidel SDEU pro prodej druhotného software jsou porušeny i licenční podmínky původce, tedy Microsoft. Zadavatel by proto měl vyžadovat, aby nabízený software odpovídal licenčním podmínkám Microsoft. Ten v souladu s rozhodnutím SDEU znemožňuje další prodej jiných než plných</w:t>
      </w:r>
      <w:r w:rsidR="004E1C87" w:rsidRPr="002E1BAD">
        <w:rPr>
          <w:rFonts w:ascii="Arial" w:hAnsi="Arial" w:cs="Arial"/>
          <w:sz w:val="22"/>
          <w:szCs w:val="22"/>
        </w:rPr>
        <w:t xml:space="preserve"> (neomezených) </w:t>
      </w:r>
      <w:r w:rsidRPr="002E1BAD">
        <w:rPr>
          <w:rFonts w:ascii="Arial" w:hAnsi="Arial" w:cs="Arial"/>
          <w:sz w:val="22"/>
          <w:szCs w:val="22"/>
        </w:rPr>
        <w:t>licencí, zejména:</w:t>
      </w:r>
    </w:p>
    <w:p w14:paraId="2009D056" w14:textId="7F5A1D12" w:rsidR="00CD3305" w:rsidRDefault="00CD3305" w:rsidP="00A9775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multilicencí sloužících jako upgrade pro plnou licenci – taková licence není rozmnoženinou software ve smyslu rozhodnutí SDEU, a proto by v případě jejího užití hrozily zadavateli sankce ze strany původce;</w:t>
      </w:r>
    </w:p>
    <w:p w14:paraId="7F11709C" w14:textId="30124B72" w:rsidR="00A65C44" w:rsidRPr="00A97755" w:rsidRDefault="00A65C44" w:rsidP="00A9775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neoriginálního software s doplněným řešením </w:t>
      </w:r>
      <w:r>
        <w:rPr>
          <w:rFonts w:ascii="Arial" w:hAnsi="Arial" w:cs="Arial"/>
          <w:i/>
        </w:rPr>
        <w:t xml:space="preserve">Microsoft </w:t>
      </w:r>
      <w:proofErr w:type="spellStart"/>
      <w:r w:rsidRPr="00A65C44">
        <w:rPr>
          <w:rFonts w:ascii="Arial" w:hAnsi="Arial" w:cs="Arial"/>
          <w:i/>
        </w:rPr>
        <w:t>Get</w:t>
      </w:r>
      <w:proofErr w:type="spellEnd"/>
      <w:r w:rsidRPr="00A65C44">
        <w:rPr>
          <w:rFonts w:ascii="Arial" w:hAnsi="Arial" w:cs="Arial"/>
          <w:i/>
        </w:rPr>
        <w:t xml:space="preserve"> </w:t>
      </w:r>
      <w:proofErr w:type="spellStart"/>
      <w:r w:rsidRPr="00A65C44">
        <w:rPr>
          <w:rFonts w:ascii="Arial" w:hAnsi="Arial" w:cs="Arial"/>
          <w:i/>
        </w:rPr>
        <w:t>Genuine</w:t>
      </w:r>
      <w:proofErr w:type="spellEnd"/>
      <w:r w:rsidRPr="00A65C44">
        <w:rPr>
          <w:rFonts w:ascii="Arial" w:hAnsi="Arial" w:cs="Arial"/>
          <w:i/>
        </w:rPr>
        <w:t xml:space="preserve"> </w:t>
      </w:r>
      <w:proofErr w:type="spellStart"/>
      <w:r w:rsidRPr="00A65C44">
        <w:rPr>
          <w:rFonts w:ascii="Arial" w:hAnsi="Arial" w:cs="Arial"/>
          <w:i/>
        </w:rPr>
        <w:t>Solution</w:t>
      </w:r>
      <w:proofErr w:type="spellEnd"/>
      <w:r w:rsidRPr="00A65C44">
        <w:rPr>
          <w:rFonts w:ascii="Arial" w:hAnsi="Arial" w:cs="Arial"/>
          <w:i/>
        </w:rPr>
        <w:t xml:space="preserve"> (GGS)</w:t>
      </w:r>
      <w:r>
        <w:rPr>
          <w:rFonts w:ascii="Arial" w:hAnsi="Arial" w:cs="Arial"/>
        </w:rPr>
        <w:t>, které upgraduje původní neoriginální software – toto řešení je opět pouze upgradem, není samostatnou licencí, a proto není rozmnoženinou software ve smyslu rozhodnutí SDEU, nadto jde o řešení pro specifické účely</w:t>
      </w:r>
      <w:r w:rsidR="004E1C87">
        <w:rPr>
          <w:rFonts w:ascii="Arial" w:hAnsi="Arial" w:cs="Arial"/>
        </w:rPr>
        <w:t xml:space="preserve"> (dle licenčních podmínek),</w:t>
      </w:r>
      <w:r w:rsidR="004E1C87">
        <w:rPr>
          <w:rStyle w:val="Znakapoznpodarou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nemůže tedy jít ani o neomezenou licenci</w:t>
      </w:r>
      <w:r w:rsidR="004E1C87">
        <w:rPr>
          <w:rFonts w:ascii="Arial" w:hAnsi="Arial" w:cs="Arial"/>
        </w:rPr>
        <w:t xml:space="preserve"> dle rozhodnutí SDEU</w:t>
      </w:r>
      <w:r w:rsidR="002D32BC">
        <w:rPr>
          <w:rFonts w:ascii="Arial" w:hAnsi="Arial" w:cs="Arial"/>
        </w:rPr>
        <w:t>.</w:t>
      </w:r>
    </w:p>
    <w:p w14:paraId="7635342A" w14:textId="77777777" w:rsidR="00CD3305" w:rsidRDefault="00CD3305" w:rsidP="002D71F9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157B4BF" w14:textId="66E4DA01" w:rsidR="00377B62" w:rsidRPr="009F4B52" w:rsidRDefault="00C452FE" w:rsidP="002D71F9">
      <w:pPr>
        <w:ind w:left="426"/>
        <w:jc w:val="both"/>
        <w:rPr>
          <w:rFonts w:ascii="Arial" w:hAnsi="Arial" w:cs="Arial"/>
          <w:sz w:val="22"/>
          <w:szCs w:val="22"/>
        </w:rPr>
      </w:pPr>
      <w:r w:rsidRPr="009F4B52">
        <w:rPr>
          <w:rFonts w:ascii="Arial" w:hAnsi="Arial" w:cs="Arial"/>
          <w:sz w:val="22"/>
          <w:szCs w:val="22"/>
        </w:rPr>
        <w:t>Z uvedených důvodů měl zadavatel podle názoru stěžovatele vyžadovat splnění podmínek stanovených SDEU</w:t>
      </w:r>
      <w:r w:rsidR="001E4A2D">
        <w:rPr>
          <w:rFonts w:ascii="Arial" w:hAnsi="Arial" w:cs="Arial"/>
          <w:sz w:val="22"/>
          <w:szCs w:val="22"/>
        </w:rPr>
        <w:t xml:space="preserve"> a licenčními</w:t>
      </w:r>
      <w:r w:rsidR="004E1C87">
        <w:rPr>
          <w:rFonts w:ascii="Arial" w:hAnsi="Arial" w:cs="Arial"/>
          <w:sz w:val="22"/>
          <w:szCs w:val="22"/>
        </w:rPr>
        <w:t xml:space="preserve"> podmínkami původce</w:t>
      </w:r>
      <w:r w:rsidRPr="009F4B52">
        <w:rPr>
          <w:rFonts w:ascii="Arial" w:hAnsi="Arial" w:cs="Arial"/>
          <w:sz w:val="22"/>
          <w:szCs w:val="22"/>
        </w:rPr>
        <w:t xml:space="preserve"> pro prodej druhotného software tak, aby jejich splnění mohl předem ověřit.</w:t>
      </w:r>
      <w:r w:rsidR="002D71F9" w:rsidRPr="009F4B52">
        <w:rPr>
          <w:rFonts w:ascii="Arial" w:hAnsi="Arial" w:cs="Arial"/>
          <w:sz w:val="22"/>
          <w:szCs w:val="22"/>
        </w:rPr>
        <w:t xml:space="preserve"> K tomuto účelu mohl využít svého oprávnění dle § 104 ZZVZ</w:t>
      </w:r>
      <w:r w:rsidR="00A71363">
        <w:rPr>
          <w:rFonts w:ascii="Arial" w:hAnsi="Arial" w:cs="Arial"/>
          <w:sz w:val="22"/>
          <w:szCs w:val="22"/>
        </w:rPr>
        <w:t>,</w:t>
      </w:r>
      <w:r w:rsidR="002D71F9" w:rsidRPr="009F4B52">
        <w:rPr>
          <w:rFonts w:ascii="Arial" w:hAnsi="Arial" w:cs="Arial"/>
          <w:sz w:val="22"/>
          <w:szCs w:val="22"/>
        </w:rPr>
        <w:t xml:space="preserve"> vyžadovat po vybraném dodavateli </w:t>
      </w:r>
      <w:r w:rsidR="002D71F9" w:rsidRPr="009F4B52">
        <w:rPr>
          <w:rFonts w:ascii="Arial" w:hAnsi="Arial" w:cs="Arial"/>
          <w:i/>
          <w:sz w:val="22"/>
          <w:szCs w:val="22"/>
        </w:rPr>
        <w:t>předložení dokladů nebo vzorků vztahujících se k předmětu plnění veřejné zakázky nebo kvalifikaci dodavatele, případně úspěšný výsledek zkoušek vzorků</w:t>
      </w:r>
      <w:r w:rsidR="002D71F9" w:rsidRPr="009F4B52">
        <w:rPr>
          <w:rFonts w:ascii="Arial" w:hAnsi="Arial" w:cs="Arial"/>
          <w:sz w:val="22"/>
          <w:szCs w:val="22"/>
        </w:rPr>
        <w:t>.</w:t>
      </w:r>
    </w:p>
    <w:p w14:paraId="2CBDE339" w14:textId="77777777" w:rsidR="002D71F9" w:rsidRPr="009F4B52" w:rsidRDefault="002D71F9" w:rsidP="002D71F9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BC2C166" w14:textId="77777777" w:rsidR="002D71F9" w:rsidRPr="009F4B52" w:rsidRDefault="002D71F9" w:rsidP="002D71F9">
      <w:pPr>
        <w:ind w:left="426"/>
        <w:jc w:val="both"/>
        <w:rPr>
          <w:rFonts w:ascii="Arial" w:hAnsi="Arial" w:cs="Arial"/>
          <w:sz w:val="22"/>
          <w:szCs w:val="22"/>
        </w:rPr>
      </w:pPr>
      <w:r w:rsidRPr="009F4B52">
        <w:rPr>
          <w:rFonts w:ascii="Arial" w:hAnsi="Arial" w:cs="Arial"/>
          <w:sz w:val="22"/>
          <w:szCs w:val="22"/>
        </w:rPr>
        <w:t xml:space="preserve">Konkrétně </w:t>
      </w:r>
      <w:r w:rsidR="00A71363">
        <w:rPr>
          <w:rFonts w:ascii="Arial" w:hAnsi="Arial" w:cs="Arial"/>
          <w:sz w:val="22"/>
          <w:szCs w:val="22"/>
        </w:rPr>
        <w:t>si mohl</w:t>
      </w:r>
      <w:r w:rsidRPr="009F4B52">
        <w:rPr>
          <w:rFonts w:ascii="Arial" w:hAnsi="Arial" w:cs="Arial"/>
          <w:sz w:val="22"/>
          <w:szCs w:val="22"/>
        </w:rPr>
        <w:t xml:space="preserve"> v souladu s § 104 písm. a) ZZVZ</w:t>
      </w:r>
      <w:r w:rsidR="00A71363">
        <w:rPr>
          <w:rFonts w:ascii="Arial" w:hAnsi="Arial" w:cs="Arial"/>
          <w:sz w:val="22"/>
          <w:szCs w:val="22"/>
        </w:rPr>
        <w:t xml:space="preserve"> vyhradit právo</w:t>
      </w:r>
      <w:r w:rsidRPr="009F4B52">
        <w:rPr>
          <w:rFonts w:ascii="Arial" w:hAnsi="Arial" w:cs="Arial"/>
          <w:sz w:val="22"/>
          <w:szCs w:val="22"/>
        </w:rPr>
        <w:t xml:space="preserve"> před uzavřením smlouvy</w:t>
      </w:r>
      <w:r w:rsidR="00A71363">
        <w:rPr>
          <w:rFonts w:ascii="Arial" w:hAnsi="Arial" w:cs="Arial"/>
          <w:sz w:val="22"/>
          <w:szCs w:val="22"/>
        </w:rPr>
        <w:t xml:space="preserve"> </w:t>
      </w:r>
      <w:r w:rsidR="00A71363" w:rsidRPr="009F4B52">
        <w:rPr>
          <w:rFonts w:ascii="Arial" w:hAnsi="Arial" w:cs="Arial"/>
          <w:sz w:val="22"/>
          <w:szCs w:val="22"/>
        </w:rPr>
        <w:t>požadovat</w:t>
      </w:r>
      <w:r w:rsidRPr="009F4B52">
        <w:rPr>
          <w:rFonts w:ascii="Arial" w:hAnsi="Arial" w:cs="Arial"/>
          <w:sz w:val="22"/>
          <w:szCs w:val="22"/>
        </w:rPr>
        <w:t xml:space="preserve"> předložení:</w:t>
      </w:r>
    </w:p>
    <w:p w14:paraId="498228AA" w14:textId="77777777" w:rsidR="002D71F9" w:rsidRPr="002E1BAD" w:rsidRDefault="002D71F9" w:rsidP="002D71F9">
      <w:pPr>
        <w:pStyle w:val="Odstavecseseznamem"/>
        <w:numPr>
          <w:ilvl w:val="0"/>
          <w:numId w:val="13"/>
        </w:numPr>
        <w:suppressAutoHyphens w:val="0"/>
        <w:contextualSpacing/>
        <w:jc w:val="both"/>
        <w:rPr>
          <w:rFonts w:ascii="Arial" w:hAnsi="Arial" w:cs="Arial"/>
        </w:rPr>
      </w:pPr>
      <w:r w:rsidRPr="009F4B52">
        <w:rPr>
          <w:rFonts w:ascii="Arial" w:hAnsi="Arial" w:cs="Arial"/>
        </w:rPr>
        <w:t xml:space="preserve">prohlášení původního i všech dalších případných nabyvatelů každé jednotlivé druhotné licence, pokud je dodavatel nabízí, že jsou licence odinstalovány, nejsou používány a na straně těchto nabyvatelů je zajištěno, že je zamezeno jejich použití v budoucnu a že </w:t>
      </w:r>
      <w:r w:rsidRPr="002E1BAD">
        <w:rPr>
          <w:rFonts w:ascii="Arial" w:hAnsi="Arial" w:cs="Arial"/>
        </w:rPr>
        <w:t>na nich neváznou žádná práva třetích stran;</w:t>
      </w:r>
    </w:p>
    <w:p w14:paraId="215EEDF5" w14:textId="5A3734C7" w:rsidR="002D71F9" w:rsidRPr="002E1BAD" w:rsidRDefault="002D71F9" w:rsidP="002D71F9">
      <w:pPr>
        <w:pStyle w:val="Odstavecseseznamem"/>
        <w:numPr>
          <w:ilvl w:val="0"/>
          <w:numId w:val="13"/>
        </w:numPr>
        <w:suppressAutoHyphens w:val="0"/>
        <w:contextualSpacing/>
        <w:jc w:val="both"/>
        <w:rPr>
          <w:rFonts w:ascii="Arial" w:hAnsi="Arial" w:cs="Arial"/>
        </w:rPr>
      </w:pPr>
      <w:r w:rsidRPr="002E1BAD">
        <w:rPr>
          <w:rFonts w:ascii="Arial" w:hAnsi="Arial" w:cs="Arial"/>
        </w:rPr>
        <w:t>licenčního klíče ke každému jednotlivému operačnímu systému nabízeného IT vybavení</w:t>
      </w:r>
      <w:r w:rsidR="002B1140" w:rsidRPr="002E1BAD">
        <w:rPr>
          <w:rFonts w:ascii="Arial" w:hAnsi="Arial" w:cs="Arial"/>
        </w:rPr>
        <w:t xml:space="preserve"> – to i pro případ dodání originálního software, aby zadavatel předešel nesprávnému licencování</w:t>
      </w:r>
      <w:r w:rsidRPr="002E1BAD">
        <w:rPr>
          <w:rFonts w:ascii="Arial" w:hAnsi="Arial" w:cs="Arial"/>
        </w:rPr>
        <w:t>;</w:t>
      </w:r>
    </w:p>
    <w:p w14:paraId="51DB8E91" w14:textId="273B5052" w:rsidR="002D71F9" w:rsidRPr="009F4B52" w:rsidRDefault="002D71F9" w:rsidP="002D71F9">
      <w:pPr>
        <w:pStyle w:val="Odstavecseseznamem"/>
        <w:numPr>
          <w:ilvl w:val="0"/>
          <w:numId w:val="13"/>
        </w:numPr>
        <w:suppressAutoHyphens w:val="0"/>
        <w:contextualSpacing/>
        <w:jc w:val="both"/>
        <w:rPr>
          <w:rFonts w:ascii="Arial" w:hAnsi="Arial" w:cs="Arial"/>
        </w:rPr>
      </w:pPr>
      <w:r w:rsidRPr="002E1BAD">
        <w:rPr>
          <w:rFonts w:ascii="Arial" w:hAnsi="Arial" w:cs="Arial"/>
        </w:rPr>
        <w:t xml:space="preserve">jména a produktového čísla (tzv. Microsoft Part </w:t>
      </w:r>
      <w:proofErr w:type="spellStart"/>
      <w:r w:rsidRPr="002E1BAD">
        <w:rPr>
          <w:rFonts w:ascii="Arial" w:hAnsi="Arial" w:cs="Arial"/>
        </w:rPr>
        <w:t>Number</w:t>
      </w:r>
      <w:proofErr w:type="spellEnd"/>
      <w:r w:rsidRPr="002E1BAD">
        <w:rPr>
          <w:rFonts w:ascii="Arial" w:hAnsi="Arial" w:cs="Arial"/>
        </w:rPr>
        <w:t>) každého jednotlivého operačního systému nabízeného IT vybavení</w:t>
      </w:r>
      <w:r w:rsidR="002B1140" w:rsidRPr="002E1BAD">
        <w:rPr>
          <w:rFonts w:ascii="Arial" w:hAnsi="Arial" w:cs="Arial"/>
        </w:rPr>
        <w:t xml:space="preserve"> – to i pro případ</w:t>
      </w:r>
      <w:r w:rsidR="002B1140">
        <w:rPr>
          <w:rFonts w:ascii="Arial" w:hAnsi="Arial" w:cs="Arial"/>
        </w:rPr>
        <w:t xml:space="preserve"> dodání originálního software, aby zadavatel předešel nesprávnému licencování</w:t>
      </w:r>
      <w:r w:rsidRPr="009F4B52">
        <w:rPr>
          <w:rFonts w:ascii="Arial" w:hAnsi="Arial" w:cs="Arial"/>
        </w:rPr>
        <w:t>.</w:t>
      </w:r>
    </w:p>
    <w:p w14:paraId="6EF94436" w14:textId="77777777" w:rsidR="002D71F9" w:rsidRPr="009F4B52" w:rsidRDefault="002D71F9" w:rsidP="002D71F9">
      <w:pPr>
        <w:suppressAutoHyphens w:val="0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6BBACF44" w14:textId="77777777" w:rsidR="002D71F9" w:rsidRPr="009F4B52" w:rsidRDefault="00857967" w:rsidP="002D71F9">
      <w:pPr>
        <w:suppressAutoHyphens w:val="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9F4B52">
        <w:rPr>
          <w:rFonts w:ascii="Arial" w:hAnsi="Arial" w:cs="Arial"/>
          <w:sz w:val="22"/>
          <w:szCs w:val="22"/>
        </w:rPr>
        <w:t xml:space="preserve">Pomocí těchto dokumentů by si zadavatel mohl ověřit, zda je případný druhotný software nabízen </w:t>
      </w:r>
      <w:r w:rsidRPr="00513448">
        <w:rPr>
          <w:rFonts w:ascii="Arial" w:hAnsi="Arial" w:cs="Arial"/>
          <w:sz w:val="22"/>
          <w:szCs w:val="22"/>
        </w:rPr>
        <w:t>legálně. To dvěma způsoby</w:t>
      </w:r>
      <w:r w:rsidRPr="009F4B52">
        <w:rPr>
          <w:rFonts w:ascii="Arial" w:hAnsi="Arial" w:cs="Arial"/>
          <w:sz w:val="22"/>
          <w:szCs w:val="22"/>
        </w:rPr>
        <w:t xml:space="preserve">. </w:t>
      </w:r>
      <w:r w:rsidRPr="009F4B52">
        <w:rPr>
          <w:rFonts w:ascii="Arial" w:hAnsi="Arial" w:cs="Arial"/>
          <w:b/>
          <w:sz w:val="22"/>
          <w:szCs w:val="22"/>
        </w:rPr>
        <w:t>Za prvé</w:t>
      </w:r>
      <w:r w:rsidRPr="009F4B52">
        <w:rPr>
          <w:rFonts w:ascii="Arial" w:hAnsi="Arial" w:cs="Arial"/>
          <w:sz w:val="22"/>
          <w:szCs w:val="22"/>
        </w:rPr>
        <w:t xml:space="preserve"> jde o prohlášení třetích stran, jejichž vydání tak</w:t>
      </w:r>
      <w:r w:rsidR="00EC3714">
        <w:rPr>
          <w:rFonts w:ascii="Arial" w:hAnsi="Arial" w:cs="Arial"/>
          <w:sz w:val="22"/>
          <w:szCs w:val="22"/>
        </w:rPr>
        <w:t>,</w:t>
      </w:r>
      <w:r w:rsidRPr="009F4B52">
        <w:rPr>
          <w:rFonts w:ascii="Arial" w:hAnsi="Arial" w:cs="Arial"/>
          <w:sz w:val="22"/>
          <w:szCs w:val="22"/>
        </w:rPr>
        <w:t xml:space="preserve"> na rozdíl o prostého prohlášení dodavatele ve Smlouvě</w:t>
      </w:r>
      <w:r w:rsidR="00EC3714">
        <w:rPr>
          <w:rFonts w:ascii="Arial" w:hAnsi="Arial" w:cs="Arial"/>
          <w:sz w:val="22"/>
          <w:szCs w:val="22"/>
        </w:rPr>
        <w:t>,</w:t>
      </w:r>
      <w:r w:rsidRPr="009F4B52">
        <w:rPr>
          <w:rFonts w:ascii="Arial" w:hAnsi="Arial" w:cs="Arial"/>
          <w:sz w:val="22"/>
          <w:szCs w:val="22"/>
        </w:rPr>
        <w:t xml:space="preserve"> není závislé pouze na vůli dodavatele. Jejich pravdivost může být </w:t>
      </w:r>
      <w:r w:rsidR="00E313C0">
        <w:rPr>
          <w:rFonts w:ascii="Arial" w:hAnsi="Arial" w:cs="Arial"/>
          <w:sz w:val="22"/>
          <w:szCs w:val="22"/>
        </w:rPr>
        <w:t xml:space="preserve">navíc </w:t>
      </w:r>
      <w:r w:rsidRPr="009F4B52">
        <w:rPr>
          <w:rFonts w:ascii="Arial" w:hAnsi="Arial" w:cs="Arial"/>
          <w:sz w:val="22"/>
          <w:szCs w:val="22"/>
        </w:rPr>
        <w:t>dále ověřen</w:t>
      </w:r>
      <w:r w:rsidR="00E313C0">
        <w:rPr>
          <w:rFonts w:ascii="Arial" w:hAnsi="Arial" w:cs="Arial"/>
          <w:sz w:val="22"/>
          <w:szCs w:val="22"/>
        </w:rPr>
        <w:t>a</w:t>
      </w:r>
      <w:r w:rsidRPr="009F4B52">
        <w:rPr>
          <w:rFonts w:ascii="Arial" w:hAnsi="Arial" w:cs="Arial"/>
          <w:sz w:val="22"/>
          <w:szCs w:val="22"/>
        </w:rPr>
        <w:t xml:space="preserve">. </w:t>
      </w:r>
      <w:r w:rsidRPr="009F4B52">
        <w:rPr>
          <w:rFonts w:ascii="Arial" w:hAnsi="Arial" w:cs="Arial"/>
          <w:b/>
          <w:sz w:val="22"/>
          <w:szCs w:val="22"/>
        </w:rPr>
        <w:t>Za druhé</w:t>
      </w:r>
      <w:r w:rsidRPr="009F4B52">
        <w:rPr>
          <w:rFonts w:ascii="Arial" w:hAnsi="Arial" w:cs="Arial"/>
          <w:sz w:val="22"/>
          <w:szCs w:val="22"/>
        </w:rPr>
        <w:t xml:space="preserve"> licenční klíč a jméno dané licence spolu s produktovým číslem může ověřit u </w:t>
      </w:r>
      <w:r w:rsidR="000E295F" w:rsidRPr="009F4B52">
        <w:rPr>
          <w:rFonts w:ascii="Arial" w:hAnsi="Arial" w:cs="Arial"/>
          <w:sz w:val="22"/>
          <w:szCs w:val="22"/>
        </w:rPr>
        <w:t>oprávněné třetí osoby.</w:t>
      </w:r>
    </w:p>
    <w:p w14:paraId="78AE4315" w14:textId="77777777" w:rsidR="000E295F" w:rsidRPr="009F4B52" w:rsidRDefault="000E295F" w:rsidP="002D71F9">
      <w:pPr>
        <w:suppressAutoHyphens w:val="0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505085AC" w14:textId="77777777" w:rsidR="000E295F" w:rsidRPr="009F4B52" w:rsidRDefault="000E295F" w:rsidP="002D71F9">
      <w:pPr>
        <w:suppressAutoHyphens w:val="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9F4B52">
        <w:rPr>
          <w:rFonts w:ascii="Arial" w:hAnsi="Arial" w:cs="Arial"/>
          <w:sz w:val="22"/>
          <w:szCs w:val="22"/>
        </w:rPr>
        <w:t>Ověření výše uvedených údajů je možné podle § 104 písm. b) ZZVZ. Zkoušku může zadavatel provést tak, že licenční klíče a jména spolu s produktovými čísly předložené dodavatelem podle § 104 písm. a) ZZVZ zašle [</w:t>
      </w:r>
      <w:r w:rsidRPr="009F4B52">
        <w:rPr>
          <w:rFonts w:ascii="Arial" w:hAnsi="Arial" w:cs="Arial"/>
          <w:sz w:val="22"/>
          <w:szCs w:val="22"/>
          <w:highlight w:val="yellow"/>
        </w:rPr>
        <w:t>DOPLNIT</w:t>
      </w:r>
      <w:r w:rsidRPr="009F4B52">
        <w:rPr>
          <w:rFonts w:ascii="Arial" w:hAnsi="Arial" w:cs="Arial"/>
          <w:sz w:val="22"/>
          <w:szCs w:val="22"/>
        </w:rPr>
        <w:t>] k ověření, jestli se jedná o licenční klíče k daným licencím, a případně jestli dané aktivační klíče byly v minulosti použité k aktivaci produktu, která by bránila plnění Smlouvy. Tím by zadavatel mohl s vysokou mírou jistoty zjistit, zda je nabízený software způsobilý k plnění předmětu Veřejné zakázky. Ostatně by ani nebylo logické, aby [</w:t>
      </w:r>
      <w:r w:rsidRPr="009F4B52">
        <w:rPr>
          <w:rFonts w:ascii="Arial" w:hAnsi="Arial" w:cs="Arial"/>
          <w:sz w:val="22"/>
          <w:szCs w:val="22"/>
          <w:highlight w:val="yellow"/>
        </w:rPr>
        <w:t>DOPLNIT</w:t>
      </w:r>
      <w:r w:rsidRPr="009F4B52">
        <w:rPr>
          <w:rFonts w:ascii="Arial" w:hAnsi="Arial" w:cs="Arial"/>
          <w:sz w:val="22"/>
          <w:szCs w:val="22"/>
        </w:rPr>
        <w:t>] potvrdila oprávněnost nabízených druhotných licencí, a následně ji zpochybnila při softwarovém auditu.</w:t>
      </w:r>
    </w:p>
    <w:p w14:paraId="3C24F9DE" w14:textId="77777777" w:rsidR="000E295F" w:rsidRPr="009F4B52" w:rsidRDefault="000E295F" w:rsidP="002D71F9">
      <w:pPr>
        <w:suppressAutoHyphens w:val="0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71928014" w14:textId="77777777" w:rsidR="000E295F" w:rsidRPr="009F4B52" w:rsidRDefault="00314BDC" w:rsidP="00314BDC">
      <w:pPr>
        <w:suppressAutoHyphens w:val="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9F4B52">
        <w:rPr>
          <w:rFonts w:ascii="Arial" w:hAnsi="Arial" w:cs="Arial"/>
          <w:sz w:val="22"/>
          <w:szCs w:val="22"/>
        </w:rPr>
        <w:t>Postupem podle § 104 písm. a) ZZVZ může zadavatel požadovat předložení jakýchkoliv dokladů týkajících se předmětu veřejné zakázky či jejího plnění, jejichž předložení je důvodné.</w:t>
      </w:r>
      <w:r w:rsidRPr="009F4B52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9F4B52">
        <w:rPr>
          <w:rFonts w:ascii="Arial" w:hAnsi="Arial" w:cs="Arial"/>
          <w:sz w:val="22"/>
          <w:szCs w:val="22"/>
        </w:rPr>
        <w:t xml:space="preserve"> Zadavateli zároveň svědčí právo ověřit si pravdivost předkládaných dokladů.</w:t>
      </w:r>
      <w:r w:rsidRPr="009F4B52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8500B5" w:rsidRPr="009F4B52">
        <w:rPr>
          <w:rFonts w:ascii="Arial" w:hAnsi="Arial" w:cs="Arial"/>
          <w:sz w:val="22"/>
          <w:szCs w:val="22"/>
        </w:rPr>
        <w:t xml:space="preserve"> K</w:t>
      </w:r>
      <w:r w:rsidR="00E313C0">
        <w:rPr>
          <w:rFonts w:ascii="Arial" w:hAnsi="Arial" w:cs="Arial"/>
          <w:sz w:val="22"/>
          <w:szCs w:val="22"/>
        </w:rPr>
        <w:t> ověření</w:t>
      </w:r>
      <w:r w:rsidR="008500B5" w:rsidRPr="009F4B52">
        <w:rPr>
          <w:rFonts w:ascii="Arial" w:hAnsi="Arial" w:cs="Arial"/>
          <w:sz w:val="22"/>
          <w:szCs w:val="22"/>
        </w:rPr>
        <w:t xml:space="preserve"> stačí vyžadovat od </w:t>
      </w:r>
      <w:r w:rsidR="00E313C0">
        <w:rPr>
          <w:rFonts w:ascii="Arial" w:hAnsi="Arial" w:cs="Arial"/>
          <w:sz w:val="22"/>
          <w:szCs w:val="22"/>
        </w:rPr>
        <w:t xml:space="preserve">vybraného </w:t>
      </w:r>
      <w:r w:rsidR="008500B5" w:rsidRPr="009F4B52">
        <w:rPr>
          <w:rFonts w:ascii="Arial" w:hAnsi="Arial" w:cs="Arial"/>
          <w:sz w:val="22"/>
          <w:szCs w:val="22"/>
        </w:rPr>
        <w:t xml:space="preserve">dodavatele výše popsané doklady. </w:t>
      </w:r>
      <w:r w:rsidR="008500B5" w:rsidRPr="00D66D6B">
        <w:rPr>
          <w:rFonts w:ascii="Arial" w:hAnsi="Arial" w:cs="Arial"/>
          <w:b/>
          <w:sz w:val="22"/>
          <w:szCs w:val="22"/>
        </w:rPr>
        <w:t xml:space="preserve">Podle názoru stěžovatele výše popsané </w:t>
      </w:r>
      <w:r w:rsidR="007B2DD9" w:rsidRPr="00D66D6B">
        <w:rPr>
          <w:rFonts w:ascii="Arial" w:hAnsi="Arial" w:cs="Arial"/>
          <w:b/>
          <w:sz w:val="22"/>
          <w:szCs w:val="22"/>
        </w:rPr>
        <w:t>nemůže být omezením hospodářské soutěže</w:t>
      </w:r>
      <w:r w:rsidR="00EC3714" w:rsidRPr="00D66D6B">
        <w:rPr>
          <w:rFonts w:ascii="Arial" w:hAnsi="Arial" w:cs="Arial"/>
          <w:b/>
          <w:sz w:val="22"/>
          <w:szCs w:val="22"/>
        </w:rPr>
        <w:t xml:space="preserve"> ani v rozporu se ZZVZ</w:t>
      </w:r>
      <w:r w:rsidR="007B2DD9" w:rsidRPr="00D66D6B">
        <w:rPr>
          <w:rFonts w:ascii="Arial" w:hAnsi="Arial" w:cs="Arial"/>
          <w:b/>
          <w:sz w:val="22"/>
          <w:szCs w:val="22"/>
        </w:rPr>
        <w:t>, neboť uvedený postup</w:t>
      </w:r>
      <w:r w:rsidR="007B2DD9" w:rsidRPr="009F4B52">
        <w:rPr>
          <w:rFonts w:ascii="Arial" w:hAnsi="Arial" w:cs="Arial"/>
          <w:sz w:val="22"/>
          <w:szCs w:val="22"/>
        </w:rPr>
        <w:t>:</w:t>
      </w:r>
    </w:p>
    <w:p w14:paraId="1C487594" w14:textId="77777777" w:rsidR="007B2DD9" w:rsidRPr="009F4B52" w:rsidRDefault="007B2DD9" w:rsidP="007B2DD9">
      <w:pPr>
        <w:pStyle w:val="Odstavecseseznamem"/>
        <w:numPr>
          <w:ilvl w:val="0"/>
          <w:numId w:val="14"/>
        </w:numPr>
        <w:suppressAutoHyphens w:val="0"/>
        <w:contextualSpacing/>
        <w:jc w:val="both"/>
        <w:rPr>
          <w:rFonts w:ascii="Arial" w:hAnsi="Arial" w:cs="Arial"/>
        </w:rPr>
      </w:pPr>
      <w:r w:rsidRPr="009F4B52">
        <w:rPr>
          <w:rFonts w:ascii="Arial" w:hAnsi="Arial" w:cs="Arial"/>
        </w:rPr>
        <w:lastRenderedPageBreak/>
        <w:t>není nákladný – kdo informace a doklady má, pouze je na výzvu zašle zadavateli;</w:t>
      </w:r>
    </w:p>
    <w:p w14:paraId="22D3816A" w14:textId="77777777" w:rsidR="007B2DD9" w:rsidRDefault="007B2DD9" w:rsidP="007B2DD9">
      <w:pPr>
        <w:pStyle w:val="Odstavecseseznamem"/>
        <w:numPr>
          <w:ilvl w:val="0"/>
          <w:numId w:val="14"/>
        </w:numPr>
        <w:suppressAutoHyphens w:val="0"/>
        <w:contextualSpacing/>
        <w:jc w:val="both"/>
        <w:rPr>
          <w:rFonts w:ascii="Arial" w:hAnsi="Arial" w:cs="Arial"/>
        </w:rPr>
      </w:pPr>
      <w:r w:rsidRPr="009F4B52">
        <w:rPr>
          <w:rFonts w:ascii="Arial" w:hAnsi="Arial" w:cs="Arial"/>
        </w:rPr>
        <w:t>kdo informace a doklady nemá, pravděpodobně ne</w:t>
      </w:r>
      <w:r w:rsidR="003C66B4">
        <w:rPr>
          <w:rFonts w:ascii="Arial" w:hAnsi="Arial" w:cs="Arial"/>
        </w:rPr>
        <w:t>ní vůbec schopen legálně plnit V</w:t>
      </w:r>
      <w:r w:rsidR="00EC3714">
        <w:rPr>
          <w:rFonts w:ascii="Arial" w:hAnsi="Arial" w:cs="Arial"/>
        </w:rPr>
        <w:t>eřejnou zakázku;</w:t>
      </w:r>
    </w:p>
    <w:p w14:paraId="27188066" w14:textId="77777777" w:rsidR="00EC3714" w:rsidRPr="009F4B52" w:rsidRDefault="00EC3714" w:rsidP="007B2DD9">
      <w:pPr>
        <w:pStyle w:val="Odstavecseseznamem"/>
        <w:numPr>
          <w:ilvl w:val="0"/>
          <w:numId w:val="14"/>
        </w:numPr>
        <w:suppressAutoHyphens w:val="0"/>
        <w:contextualSpacing/>
        <w:jc w:val="both"/>
        <w:rPr>
          <w:rFonts w:ascii="Arial" w:hAnsi="Arial" w:cs="Arial"/>
        </w:rPr>
      </w:pPr>
      <w:r w:rsidRPr="00D66D6B">
        <w:rPr>
          <w:rFonts w:ascii="Arial" w:hAnsi="Arial" w:cs="Arial"/>
          <w:b/>
        </w:rPr>
        <w:t>předchází sankcím za porušení autorských práv zadavatelem</w:t>
      </w:r>
      <w:r>
        <w:rPr>
          <w:rFonts w:ascii="Arial" w:hAnsi="Arial" w:cs="Arial"/>
        </w:rPr>
        <w:t xml:space="preserve"> – o důvodnosti tedy nelze pochybovat.</w:t>
      </w:r>
    </w:p>
    <w:p w14:paraId="72028811" w14:textId="77777777" w:rsidR="007B2DD9" w:rsidRPr="009F4B52" w:rsidRDefault="007B2DD9" w:rsidP="007B2DD9">
      <w:pPr>
        <w:suppressAutoHyphens w:val="0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662AEB29" w14:textId="77777777" w:rsidR="0027308F" w:rsidRPr="009F4B52" w:rsidRDefault="0027308F" w:rsidP="0027308F">
      <w:pPr>
        <w:suppressAutoHyphens w:val="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9F4B52">
        <w:rPr>
          <w:rFonts w:ascii="Arial" w:hAnsi="Arial" w:cs="Arial"/>
          <w:sz w:val="22"/>
          <w:szCs w:val="22"/>
        </w:rPr>
        <w:t>Nad rámec výše uvedeného k ověření povahy nabízených druhotných licencí mohl zadavatel požadovat dle § 79 odst. 2 písm. k) ZZVZ předložení:</w:t>
      </w:r>
    </w:p>
    <w:p w14:paraId="178C6ED2" w14:textId="77777777" w:rsidR="0027308F" w:rsidRPr="009F4B52" w:rsidRDefault="0027308F" w:rsidP="0027308F">
      <w:pPr>
        <w:pStyle w:val="Odstavecseseznamem"/>
        <w:numPr>
          <w:ilvl w:val="0"/>
          <w:numId w:val="15"/>
        </w:numPr>
        <w:suppressAutoHyphens w:val="0"/>
        <w:contextualSpacing/>
        <w:jc w:val="both"/>
        <w:rPr>
          <w:rFonts w:ascii="Arial" w:hAnsi="Arial" w:cs="Arial"/>
        </w:rPr>
      </w:pPr>
      <w:r w:rsidRPr="009F4B52">
        <w:rPr>
          <w:rFonts w:ascii="Arial" w:hAnsi="Arial" w:cs="Arial"/>
        </w:rPr>
        <w:t>identifikaci každé z nabízených licencí, jejich čísla a plného názvu;</w:t>
      </w:r>
    </w:p>
    <w:p w14:paraId="0184297D" w14:textId="77777777" w:rsidR="0027308F" w:rsidRPr="009F4B52" w:rsidRDefault="0027308F" w:rsidP="0027308F">
      <w:pPr>
        <w:pStyle w:val="Odstavecseseznamem"/>
        <w:numPr>
          <w:ilvl w:val="0"/>
          <w:numId w:val="15"/>
        </w:numPr>
        <w:suppressAutoHyphens w:val="0"/>
        <w:contextualSpacing/>
        <w:jc w:val="both"/>
        <w:rPr>
          <w:rFonts w:ascii="Arial" w:hAnsi="Arial" w:cs="Arial"/>
        </w:rPr>
      </w:pPr>
      <w:r w:rsidRPr="009F4B52">
        <w:rPr>
          <w:rFonts w:ascii="Arial" w:hAnsi="Arial" w:cs="Arial"/>
        </w:rPr>
        <w:t>identifikaci případného prvního (předchozího) nabyvatele každé z nabízených druhotných licencí, z které by bylo zřejmé, že licence byly pořízeny pro území EU, EHS nebo Švýcarska;</w:t>
      </w:r>
    </w:p>
    <w:p w14:paraId="4638408E" w14:textId="77777777" w:rsidR="0027308F" w:rsidRPr="009F4B52" w:rsidRDefault="0027308F" w:rsidP="0027308F">
      <w:pPr>
        <w:pStyle w:val="Odstavecseseznamem"/>
        <w:numPr>
          <w:ilvl w:val="0"/>
          <w:numId w:val="15"/>
        </w:numPr>
        <w:suppressAutoHyphens w:val="0"/>
        <w:contextualSpacing/>
        <w:jc w:val="both"/>
        <w:rPr>
          <w:rFonts w:ascii="Arial" w:hAnsi="Arial" w:cs="Arial"/>
        </w:rPr>
      </w:pPr>
      <w:r w:rsidRPr="009F4B52">
        <w:rPr>
          <w:rFonts w:ascii="Arial" w:hAnsi="Arial" w:cs="Arial"/>
        </w:rPr>
        <w:t>ke každé z nabízených druhotných licencí smlouvy (originálu nebo ověřené kopie) mezi poskytovatelem licence a prvním nabyvatelem nebo jiného obdobného dokumentu k prokázání časové neomezenosti licencí a k prokázání, že původním, nabyvatel</w:t>
      </w:r>
      <w:r w:rsidR="00EC3714">
        <w:rPr>
          <w:rFonts w:ascii="Arial" w:hAnsi="Arial" w:cs="Arial"/>
        </w:rPr>
        <w:t>em</w:t>
      </w:r>
      <w:r w:rsidRPr="009F4B52">
        <w:rPr>
          <w:rFonts w:ascii="Arial" w:hAnsi="Arial" w:cs="Arial"/>
        </w:rPr>
        <w:t xml:space="preserve"> byly licence řádně zakoupeny (včetně zaplacení kupní ceny), nikoliv pronajímány.</w:t>
      </w:r>
    </w:p>
    <w:p w14:paraId="77115E80" w14:textId="77777777" w:rsidR="0027308F" w:rsidRPr="009F4B52" w:rsidRDefault="0027308F" w:rsidP="007B2DD9">
      <w:pPr>
        <w:suppressAutoHyphens w:val="0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706354C6" w14:textId="77777777" w:rsidR="00F7424E" w:rsidRDefault="00F7424E" w:rsidP="007B2DD9">
      <w:pPr>
        <w:suppressAutoHyphens w:val="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9F4B52">
        <w:rPr>
          <w:rFonts w:ascii="Arial" w:hAnsi="Arial" w:cs="Arial"/>
          <w:sz w:val="22"/>
          <w:szCs w:val="22"/>
        </w:rPr>
        <w:t>Zejména n</w:t>
      </w:r>
      <w:r w:rsidR="007B2DD9" w:rsidRPr="009F4B52">
        <w:rPr>
          <w:rFonts w:ascii="Arial" w:hAnsi="Arial" w:cs="Arial"/>
          <w:sz w:val="22"/>
          <w:szCs w:val="22"/>
        </w:rPr>
        <w:t>eověření</w:t>
      </w:r>
      <w:r w:rsidRPr="009F4B52">
        <w:rPr>
          <w:rFonts w:ascii="Arial" w:hAnsi="Arial" w:cs="Arial"/>
          <w:sz w:val="22"/>
          <w:szCs w:val="22"/>
        </w:rPr>
        <w:t>m</w:t>
      </w:r>
      <w:r w:rsidR="007B2DD9" w:rsidRPr="009F4B52">
        <w:rPr>
          <w:rFonts w:ascii="Arial" w:hAnsi="Arial" w:cs="Arial"/>
          <w:sz w:val="22"/>
          <w:szCs w:val="22"/>
        </w:rPr>
        <w:t xml:space="preserve"> dodávaných licencí</w:t>
      </w:r>
      <w:r w:rsidRPr="009F4B52">
        <w:rPr>
          <w:rFonts w:ascii="Arial" w:hAnsi="Arial" w:cs="Arial"/>
          <w:sz w:val="22"/>
          <w:szCs w:val="22"/>
        </w:rPr>
        <w:t xml:space="preserve"> nastíněným postupem podle § 104 ZZVZ</w:t>
      </w:r>
      <w:r w:rsidR="007B2DD9" w:rsidRPr="009F4B52">
        <w:rPr>
          <w:rFonts w:ascii="Arial" w:hAnsi="Arial" w:cs="Arial"/>
          <w:sz w:val="22"/>
          <w:szCs w:val="22"/>
        </w:rPr>
        <w:t xml:space="preserve"> zadavatel riskuje, že mu budou dodány nelegální druhotné licence.</w:t>
      </w:r>
      <w:r w:rsidRPr="009F4B52">
        <w:rPr>
          <w:rFonts w:ascii="Arial" w:hAnsi="Arial" w:cs="Arial"/>
          <w:sz w:val="22"/>
          <w:szCs w:val="22"/>
        </w:rPr>
        <w:t xml:space="preserve"> Ověření vybraného dodavatele (a jeho nabídky) postupem podle § 104 ZZVZ je jednoduchý</w:t>
      </w:r>
      <w:r w:rsidR="00E313C0">
        <w:rPr>
          <w:rFonts w:ascii="Arial" w:hAnsi="Arial" w:cs="Arial"/>
          <w:sz w:val="22"/>
          <w:szCs w:val="22"/>
        </w:rPr>
        <w:t>m</w:t>
      </w:r>
      <w:r w:rsidRPr="009F4B52">
        <w:rPr>
          <w:rFonts w:ascii="Arial" w:hAnsi="Arial" w:cs="Arial"/>
          <w:sz w:val="22"/>
          <w:szCs w:val="22"/>
        </w:rPr>
        <w:t xml:space="preserve"> a levným způsobem, jak předcházet pozdější nescho</w:t>
      </w:r>
      <w:r w:rsidR="00E313C0">
        <w:rPr>
          <w:rFonts w:ascii="Arial" w:hAnsi="Arial" w:cs="Arial"/>
          <w:sz w:val="22"/>
          <w:szCs w:val="22"/>
        </w:rPr>
        <w:t>pnosti plnit veřejnou zakázku. Zároveň je t</w:t>
      </w:r>
      <w:r w:rsidRPr="009F4B52">
        <w:rPr>
          <w:rFonts w:ascii="Arial" w:hAnsi="Arial" w:cs="Arial"/>
          <w:sz w:val="22"/>
          <w:szCs w:val="22"/>
        </w:rPr>
        <w:t>ímto ověřením zatížen pouze vybraný dodavatel, nikoliv všichni</w:t>
      </w:r>
      <w:r w:rsidR="00E313C0">
        <w:rPr>
          <w:rFonts w:ascii="Arial" w:hAnsi="Arial" w:cs="Arial"/>
          <w:sz w:val="22"/>
          <w:szCs w:val="22"/>
        </w:rPr>
        <w:t xml:space="preserve"> již</w:t>
      </w:r>
      <w:r w:rsidRPr="009F4B52">
        <w:rPr>
          <w:rFonts w:ascii="Arial" w:hAnsi="Arial" w:cs="Arial"/>
          <w:sz w:val="22"/>
          <w:szCs w:val="22"/>
        </w:rPr>
        <w:t xml:space="preserve"> při podávání nabídek.</w:t>
      </w:r>
    </w:p>
    <w:p w14:paraId="2DB82EEF" w14:textId="77777777" w:rsidR="00E313C0" w:rsidRPr="009F4B52" w:rsidRDefault="00E313C0" w:rsidP="007B2DD9">
      <w:pPr>
        <w:suppressAutoHyphens w:val="0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DED5C2C" w14:textId="77777777" w:rsidR="007B2DD9" w:rsidRPr="00083D61" w:rsidRDefault="00F7424E" w:rsidP="007B2DD9">
      <w:pPr>
        <w:suppressAutoHyphens w:val="0"/>
        <w:ind w:left="426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F6926">
        <w:rPr>
          <w:rFonts w:ascii="Arial" w:hAnsi="Arial" w:cs="Arial"/>
          <w:b/>
          <w:sz w:val="22"/>
          <w:szCs w:val="22"/>
        </w:rPr>
        <w:t xml:space="preserve">Z popsaných důvodů </w:t>
      </w:r>
      <w:r w:rsidR="00387A52" w:rsidRPr="001F6926">
        <w:rPr>
          <w:rFonts w:ascii="Arial" w:hAnsi="Arial" w:cs="Arial"/>
          <w:b/>
          <w:sz w:val="22"/>
          <w:szCs w:val="22"/>
        </w:rPr>
        <w:t>zadavatel</w:t>
      </w:r>
      <w:r w:rsidR="007B2DD9" w:rsidRPr="001F6926">
        <w:rPr>
          <w:rFonts w:ascii="Arial" w:hAnsi="Arial" w:cs="Arial"/>
          <w:b/>
          <w:sz w:val="22"/>
          <w:szCs w:val="22"/>
        </w:rPr>
        <w:t xml:space="preserve"> nejen že neušetří, ale naopak</w:t>
      </w:r>
      <w:r w:rsidR="00387A52" w:rsidRPr="001F6926">
        <w:rPr>
          <w:rFonts w:ascii="Arial" w:hAnsi="Arial" w:cs="Arial"/>
          <w:b/>
          <w:sz w:val="22"/>
          <w:szCs w:val="22"/>
        </w:rPr>
        <w:t xml:space="preserve"> se vystavuje riziku, že</w:t>
      </w:r>
      <w:r w:rsidR="007B2DD9" w:rsidRPr="001F6926">
        <w:rPr>
          <w:rFonts w:ascii="Arial" w:hAnsi="Arial" w:cs="Arial"/>
          <w:b/>
          <w:sz w:val="22"/>
          <w:szCs w:val="22"/>
        </w:rPr>
        <w:t xml:space="preserve"> zaplatí </w:t>
      </w:r>
      <w:r w:rsidR="0027308F" w:rsidRPr="001F6926">
        <w:rPr>
          <w:rFonts w:ascii="Arial" w:hAnsi="Arial" w:cs="Arial"/>
          <w:b/>
          <w:sz w:val="22"/>
          <w:szCs w:val="22"/>
        </w:rPr>
        <w:t>více</w:t>
      </w:r>
      <w:r w:rsidR="00782100" w:rsidRPr="001F6926">
        <w:rPr>
          <w:rFonts w:ascii="Arial" w:hAnsi="Arial" w:cs="Arial"/>
          <w:b/>
          <w:sz w:val="22"/>
          <w:szCs w:val="22"/>
        </w:rPr>
        <w:t>, protože</w:t>
      </w:r>
      <w:r w:rsidR="00387A52" w:rsidRPr="001F6926">
        <w:rPr>
          <w:rFonts w:ascii="Arial" w:hAnsi="Arial" w:cs="Arial"/>
          <w:b/>
          <w:sz w:val="22"/>
          <w:szCs w:val="22"/>
        </w:rPr>
        <w:t xml:space="preserve"> u</w:t>
      </w:r>
      <w:r w:rsidR="0027308F" w:rsidRPr="001F6926">
        <w:rPr>
          <w:rFonts w:ascii="Arial" w:hAnsi="Arial" w:cs="Arial"/>
          <w:b/>
          <w:sz w:val="22"/>
          <w:szCs w:val="22"/>
        </w:rPr>
        <w:t xml:space="preserve">žíváním </w:t>
      </w:r>
      <w:r w:rsidR="00387A52" w:rsidRPr="001F6926">
        <w:rPr>
          <w:rFonts w:ascii="Arial" w:hAnsi="Arial" w:cs="Arial"/>
          <w:b/>
          <w:sz w:val="22"/>
          <w:szCs w:val="22"/>
        </w:rPr>
        <w:t xml:space="preserve">nelegálních druhotných licencí </w:t>
      </w:r>
      <w:r w:rsidR="0027308F" w:rsidRPr="001F6926">
        <w:rPr>
          <w:rFonts w:ascii="Arial" w:hAnsi="Arial" w:cs="Arial"/>
          <w:b/>
          <w:sz w:val="22"/>
          <w:szCs w:val="22"/>
        </w:rPr>
        <w:t xml:space="preserve">zasáhne do autorských práv původce. </w:t>
      </w:r>
      <w:r w:rsidR="00782100" w:rsidRPr="001F6926">
        <w:rPr>
          <w:rFonts w:ascii="Arial" w:hAnsi="Arial" w:cs="Arial"/>
          <w:b/>
          <w:sz w:val="22"/>
          <w:szCs w:val="22"/>
        </w:rPr>
        <w:t>Zároveň porušuje zásadu</w:t>
      </w:r>
      <w:r w:rsidR="00EC3714" w:rsidRPr="001F6926">
        <w:rPr>
          <w:rFonts w:ascii="Arial" w:hAnsi="Arial" w:cs="Arial"/>
          <w:b/>
          <w:sz w:val="22"/>
          <w:szCs w:val="22"/>
        </w:rPr>
        <w:t xml:space="preserve"> zákazu</w:t>
      </w:r>
      <w:r w:rsidR="00782100" w:rsidRPr="001F6926">
        <w:rPr>
          <w:rFonts w:ascii="Arial" w:hAnsi="Arial" w:cs="Arial"/>
          <w:b/>
          <w:sz w:val="22"/>
          <w:szCs w:val="22"/>
        </w:rPr>
        <w:t xml:space="preserve"> d</w:t>
      </w:r>
      <w:r w:rsidR="00513448" w:rsidRPr="001F6926">
        <w:rPr>
          <w:rFonts w:ascii="Arial" w:hAnsi="Arial" w:cs="Arial"/>
          <w:b/>
          <w:sz w:val="22"/>
          <w:szCs w:val="22"/>
        </w:rPr>
        <w:t>iskriminace dle § 6 ZZVZ, když z</w:t>
      </w:r>
      <w:r w:rsidR="00782100" w:rsidRPr="001F6926">
        <w:rPr>
          <w:rFonts w:ascii="Arial" w:hAnsi="Arial" w:cs="Arial"/>
          <w:b/>
          <w:sz w:val="22"/>
          <w:szCs w:val="22"/>
        </w:rPr>
        <w:t xml:space="preserve">adávací podmínky nastavil tak, že dodavatelé řádných a </w:t>
      </w:r>
      <w:r w:rsidR="00782100" w:rsidRPr="001F6926">
        <w:rPr>
          <w:rFonts w:ascii="Arial" w:hAnsi="Arial" w:cs="Arial"/>
          <w:b/>
          <w:color w:val="auto"/>
          <w:sz w:val="22"/>
          <w:szCs w:val="22"/>
        </w:rPr>
        <w:t>způsobilých licencí nemohou cenově konkurovat.</w:t>
      </w:r>
      <w:r w:rsidR="00782100" w:rsidRPr="00083D61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="00387A52" w:rsidRPr="00083D61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65F5B330" w14:textId="77777777" w:rsidR="007B2DD9" w:rsidRPr="00083D61" w:rsidRDefault="007B2DD9" w:rsidP="007B2DD9">
      <w:pPr>
        <w:suppressAutoHyphens w:val="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1DE822EA" w14:textId="77777777" w:rsidR="00E74B4B" w:rsidRPr="00083D61" w:rsidRDefault="00530F52" w:rsidP="00530F52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83D61">
        <w:rPr>
          <w:rFonts w:ascii="Arial" w:hAnsi="Arial" w:cs="Arial"/>
          <w:b/>
          <w:smallCaps/>
          <w:color w:val="auto"/>
          <w:sz w:val="22"/>
          <w:szCs w:val="22"/>
        </w:rPr>
        <w:t>Absence podmínek pro za</w:t>
      </w:r>
      <w:r w:rsidR="00782100" w:rsidRPr="00083D61">
        <w:rPr>
          <w:rFonts w:ascii="Arial" w:hAnsi="Arial" w:cs="Arial"/>
          <w:b/>
          <w:smallCaps/>
          <w:color w:val="auto"/>
          <w:sz w:val="22"/>
          <w:szCs w:val="22"/>
        </w:rPr>
        <w:t>jištění poskytování aktualizací a podpory</w:t>
      </w:r>
      <w:r w:rsidRPr="00083D61">
        <w:rPr>
          <w:rFonts w:ascii="Arial" w:hAnsi="Arial" w:cs="Arial"/>
          <w:b/>
          <w:smallCaps/>
          <w:color w:val="auto"/>
          <w:sz w:val="22"/>
          <w:szCs w:val="22"/>
        </w:rPr>
        <w:t xml:space="preserve"> dodávaného software</w:t>
      </w:r>
    </w:p>
    <w:p w14:paraId="6D9022C1" w14:textId="77777777" w:rsidR="00E74B4B" w:rsidRPr="009F4B52" w:rsidRDefault="00E74B4B" w:rsidP="00B276D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D922559" w14:textId="77777777" w:rsidR="00530F52" w:rsidRPr="009F4B52" w:rsidRDefault="00530F52" w:rsidP="00530F52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E1BAD">
        <w:rPr>
          <w:rFonts w:ascii="Arial" w:hAnsi="Arial" w:cs="Arial"/>
          <w:b/>
          <w:sz w:val="22"/>
          <w:szCs w:val="22"/>
        </w:rPr>
        <w:t>Z</w:t>
      </w:r>
      <w:r w:rsidR="00387A52" w:rsidRPr="002E1BAD">
        <w:rPr>
          <w:rFonts w:ascii="Arial" w:hAnsi="Arial" w:cs="Arial"/>
          <w:b/>
          <w:sz w:val="22"/>
          <w:szCs w:val="22"/>
        </w:rPr>
        <w:t> rozhodnutí</w:t>
      </w:r>
      <w:r w:rsidRPr="002E1BAD">
        <w:rPr>
          <w:rFonts w:ascii="Arial" w:hAnsi="Arial" w:cs="Arial"/>
          <w:b/>
          <w:sz w:val="22"/>
          <w:szCs w:val="22"/>
        </w:rPr>
        <w:t xml:space="preserve"> SDEU</w:t>
      </w:r>
      <w:r w:rsidR="00387A52" w:rsidRPr="002E1BAD">
        <w:rPr>
          <w:rStyle w:val="Znakapoznpodarou"/>
          <w:rFonts w:ascii="Arial" w:hAnsi="Arial" w:cs="Arial"/>
          <w:b/>
          <w:sz w:val="22"/>
          <w:szCs w:val="22"/>
        </w:rPr>
        <w:footnoteReference w:id="5"/>
      </w:r>
      <w:r w:rsidRPr="002E1BAD">
        <w:rPr>
          <w:rFonts w:ascii="Arial" w:hAnsi="Arial" w:cs="Arial"/>
          <w:b/>
          <w:sz w:val="22"/>
          <w:szCs w:val="22"/>
        </w:rPr>
        <w:t xml:space="preserve"> vyplývá, že práva z oddělitelné smlouvy o údržbě daného software (zajišťující </w:t>
      </w:r>
      <w:r w:rsidR="00782100" w:rsidRPr="002E1BAD">
        <w:rPr>
          <w:rFonts w:ascii="Arial" w:hAnsi="Arial" w:cs="Arial"/>
          <w:b/>
          <w:sz w:val="22"/>
          <w:szCs w:val="22"/>
        </w:rPr>
        <w:t xml:space="preserve">např. </w:t>
      </w:r>
      <w:r w:rsidRPr="002E1BAD">
        <w:rPr>
          <w:rFonts w:ascii="Arial" w:hAnsi="Arial" w:cs="Arial"/>
          <w:b/>
          <w:sz w:val="22"/>
          <w:szCs w:val="22"/>
        </w:rPr>
        <w:t>nárok na updaty, bezpečnostní aktualizace</w:t>
      </w:r>
      <w:r w:rsidR="00782100" w:rsidRPr="002E1BAD">
        <w:rPr>
          <w:rFonts w:ascii="Arial" w:hAnsi="Arial" w:cs="Arial"/>
          <w:b/>
          <w:sz w:val="22"/>
          <w:szCs w:val="22"/>
        </w:rPr>
        <w:t xml:space="preserve"> a podporu</w:t>
      </w:r>
      <w:r w:rsidRPr="002E1BAD">
        <w:rPr>
          <w:rFonts w:ascii="Arial" w:hAnsi="Arial" w:cs="Arial"/>
          <w:b/>
          <w:sz w:val="22"/>
          <w:szCs w:val="22"/>
        </w:rPr>
        <w:t>) nemusí být součástí převodu software na nového nabyvatele</w:t>
      </w:r>
      <w:r w:rsidRPr="002E1BAD">
        <w:rPr>
          <w:rFonts w:ascii="Arial" w:hAnsi="Arial" w:cs="Arial"/>
          <w:sz w:val="22"/>
          <w:szCs w:val="22"/>
        </w:rPr>
        <w:t>. To platí zejména v případě převodu rozmnoženiny, která byla součástí tzv. multilicence (licence k většímu počtu rozmnoženin software). Není tak</w:t>
      </w:r>
      <w:r w:rsidRPr="009F4B52">
        <w:rPr>
          <w:rFonts w:ascii="Arial" w:hAnsi="Arial" w:cs="Arial"/>
          <w:sz w:val="22"/>
          <w:szCs w:val="22"/>
        </w:rPr>
        <w:t xml:space="preserve"> jasné, zda vůbec a v jaké míře bude mít Zadavatel v případě dodání druhotného software nárok na aktualizace </w:t>
      </w:r>
      <w:r w:rsidR="00782100">
        <w:rPr>
          <w:rFonts w:ascii="Arial" w:hAnsi="Arial" w:cs="Arial"/>
          <w:sz w:val="22"/>
          <w:szCs w:val="22"/>
        </w:rPr>
        <w:t>a podporu výrobce</w:t>
      </w:r>
      <w:r w:rsidRPr="009F4B52">
        <w:rPr>
          <w:rFonts w:ascii="Arial" w:hAnsi="Arial" w:cs="Arial"/>
          <w:sz w:val="22"/>
          <w:szCs w:val="22"/>
        </w:rPr>
        <w:t xml:space="preserve">. Jediným způsobem </w:t>
      </w:r>
      <w:r w:rsidR="00A20EA9">
        <w:rPr>
          <w:rFonts w:ascii="Arial" w:hAnsi="Arial" w:cs="Arial"/>
          <w:sz w:val="22"/>
          <w:szCs w:val="22"/>
        </w:rPr>
        <w:t>zajištění aktualizace atd.</w:t>
      </w:r>
      <w:r w:rsidR="00782100">
        <w:rPr>
          <w:rFonts w:ascii="Arial" w:hAnsi="Arial" w:cs="Arial"/>
          <w:sz w:val="22"/>
          <w:szCs w:val="22"/>
        </w:rPr>
        <w:t xml:space="preserve"> proto</w:t>
      </w:r>
      <w:r w:rsidRPr="009F4B52">
        <w:rPr>
          <w:rFonts w:ascii="Arial" w:hAnsi="Arial" w:cs="Arial"/>
          <w:sz w:val="22"/>
          <w:szCs w:val="22"/>
        </w:rPr>
        <w:t xml:space="preserve"> je požadavek na zajištění podpory software (updatů apod.) po celou dobu trvání Smlouvy na Veřejnou zakázku</w:t>
      </w:r>
      <w:r w:rsidR="00782100">
        <w:rPr>
          <w:rFonts w:ascii="Arial" w:hAnsi="Arial" w:cs="Arial"/>
          <w:sz w:val="22"/>
          <w:szCs w:val="22"/>
        </w:rPr>
        <w:t>, a to</w:t>
      </w:r>
      <w:r w:rsidRPr="009F4B52">
        <w:rPr>
          <w:rFonts w:ascii="Arial" w:hAnsi="Arial" w:cs="Arial"/>
          <w:sz w:val="22"/>
          <w:szCs w:val="22"/>
        </w:rPr>
        <w:t xml:space="preserve"> včetně předchozího ověření.</w:t>
      </w:r>
    </w:p>
    <w:p w14:paraId="7AAF9C13" w14:textId="77777777" w:rsidR="00387A52" w:rsidRPr="009F4B52" w:rsidRDefault="00387A52" w:rsidP="00530F52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3E036F73" w14:textId="602FF9CC" w:rsidR="00B43BBF" w:rsidRPr="009F4B52" w:rsidRDefault="008A5147" w:rsidP="00530F52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D66D6B">
        <w:rPr>
          <w:rFonts w:ascii="Arial" w:hAnsi="Arial" w:cs="Arial"/>
          <w:sz w:val="22"/>
          <w:szCs w:val="22"/>
        </w:rPr>
        <w:t xml:space="preserve">Výše uvedené platí nejen podle české </w:t>
      </w:r>
      <w:r w:rsidR="002B1140">
        <w:rPr>
          <w:rFonts w:ascii="Arial" w:hAnsi="Arial" w:cs="Arial"/>
          <w:sz w:val="22"/>
          <w:szCs w:val="22"/>
        </w:rPr>
        <w:t xml:space="preserve">a evropské </w:t>
      </w:r>
      <w:r w:rsidRPr="00D66D6B">
        <w:rPr>
          <w:rFonts w:ascii="Arial" w:hAnsi="Arial" w:cs="Arial"/>
          <w:sz w:val="22"/>
          <w:szCs w:val="22"/>
        </w:rPr>
        <w:t xml:space="preserve">doktríny. </w:t>
      </w:r>
      <w:r w:rsidR="00782100" w:rsidRPr="00D66D6B">
        <w:rPr>
          <w:rFonts w:ascii="Arial" w:hAnsi="Arial" w:cs="Arial"/>
          <w:sz w:val="22"/>
          <w:szCs w:val="22"/>
        </w:rPr>
        <w:t>P</w:t>
      </w:r>
      <w:r w:rsidRPr="00D66D6B">
        <w:rPr>
          <w:rFonts w:ascii="Arial" w:hAnsi="Arial" w:cs="Arial"/>
          <w:sz w:val="22"/>
          <w:szCs w:val="22"/>
        </w:rPr>
        <w:t>odle</w:t>
      </w:r>
      <w:r w:rsidRPr="009F4B52">
        <w:rPr>
          <w:rFonts w:ascii="Arial" w:hAnsi="Arial" w:cs="Arial"/>
          <w:sz w:val="22"/>
          <w:szCs w:val="22"/>
        </w:rPr>
        <w:t xml:space="preserve"> českého práva je pro postoupení smlouvy nezbytný souhlas druhé smluvní strany.</w:t>
      </w:r>
      <w:r w:rsidRPr="009F4B52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9F4B52">
        <w:rPr>
          <w:rFonts w:ascii="Arial" w:hAnsi="Arial" w:cs="Arial"/>
          <w:sz w:val="22"/>
          <w:szCs w:val="22"/>
        </w:rPr>
        <w:t xml:space="preserve"> </w:t>
      </w:r>
      <w:r w:rsidR="00D10957" w:rsidRPr="009F4B52">
        <w:rPr>
          <w:rFonts w:ascii="Arial" w:hAnsi="Arial" w:cs="Arial"/>
          <w:sz w:val="22"/>
          <w:szCs w:val="22"/>
        </w:rPr>
        <w:t xml:space="preserve">To je ostatně logické. V poměrech soukromého práva </w:t>
      </w:r>
      <w:r w:rsidR="00782100">
        <w:rPr>
          <w:rFonts w:ascii="Arial" w:hAnsi="Arial" w:cs="Arial"/>
          <w:sz w:val="22"/>
          <w:szCs w:val="22"/>
        </w:rPr>
        <w:t>je</w:t>
      </w:r>
      <w:r w:rsidR="00D10957" w:rsidRPr="009F4B52">
        <w:rPr>
          <w:rFonts w:ascii="Arial" w:hAnsi="Arial" w:cs="Arial"/>
          <w:sz w:val="22"/>
          <w:szCs w:val="22"/>
        </w:rPr>
        <w:t xml:space="preserve"> </w:t>
      </w:r>
      <w:r w:rsidR="00BC284F">
        <w:rPr>
          <w:rFonts w:ascii="Arial" w:hAnsi="Arial" w:cs="Arial"/>
          <w:sz w:val="22"/>
          <w:szCs w:val="22"/>
        </w:rPr>
        <w:t>obtížně uchopitelné, aby byl</w:t>
      </w:r>
      <w:r w:rsidR="00782100">
        <w:rPr>
          <w:rFonts w:ascii="Arial" w:hAnsi="Arial" w:cs="Arial"/>
          <w:sz w:val="22"/>
          <w:szCs w:val="22"/>
        </w:rPr>
        <w:t xml:space="preserve"> </w:t>
      </w:r>
      <w:r w:rsidR="00D10957" w:rsidRPr="009F4B52">
        <w:rPr>
          <w:rFonts w:ascii="Arial" w:hAnsi="Arial" w:cs="Arial"/>
          <w:sz w:val="22"/>
          <w:szCs w:val="22"/>
        </w:rPr>
        <w:t>původce autorského práva nucen někomu plnit, aniž by s ním měl uzavřenou smlouvu.</w:t>
      </w:r>
    </w:p>
    <w:p w14:paraId="24D77402" w14:textId="77777777" w:rsidR="00B43BBF" w:rsidRPr="009F4B52" w:rsidRDefault="00B43BBF" w:rsidP="00530F52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788A3369" w14:textId="6B1477FA" w:rsidR="00B43BBF" w:rsidRPr="009F4B52" w:rsidRDefault="00D10957" w:rsidP="00530F52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F4B52">
        <w:rPr>
          <w:rFonts w:ascii="Arial" w:hAnsi="Arial" w:cs="Arial"/>
          <w:sz w:val="22"/>
          <w:szCs w:val="22"/>
        </w:rPr>
        <w:t>Ze zde uvedených důvodů si zadavatel měl poskytování aktualizací a u</w:t>
      </w:r>
      <w:r w:rsidR="00513448">
        <w:rPr>
          <w:rFonts w:ascii="Arial" w:hAnsi="Arial" w:cs="Arial"/>
          <w:sz w:val="22"/>
          <w:szCs w:val="22"/>
        </w:rPr>
        <w:t>pdatů zajistit prostřednictvím Z</w:t>
      </w:r>
      <w:r w:rsidRPr="009F4B52">
        <w:rPr>
          <w:rFonts w:ascii="Arial" w:hAnsi="Arial" w:cs="Arial"/>
          <w:sz w:val="22"/>
          <w:szCs w:val="22"/>
        </w:rPr>
        <w:t>adávací</w:t>
      </w:r>
      <w:r w:rsidR="00513448">
        <w:rPr>
          <w:rFonts w:ascii="Arial" w:hAnsi="Arial" w:cs="Arial"/>
          <w:sz w:val="22"/>
          <w:szCs w:val="22"/>
        </w:rPr>
        <w:t xml:space="preserve"> dokumentace</w:t>
      </w:r>
      <w:r w:rsidRPr="009F4B52">
        <w:rPr>
          <w:rFonts w:ascii="Arial" w:hAnsi="Arial" w:cs="Arial"/>
          <w:sz w:val="22"/>
          <w:szCs w:val="22"/>
        </w:rPr>
        <w:t xml:space="preserve">. V souladu s § 104 písm. a) ZZVZ </w:t>
      </w:r>
      <w:r w:rsidR="00782100">
        <w:rPr>
          <w:rFonts w:ascii="Arial" w:hAnsi="Arial" w:cs="Arial"/>
          <w:sz w:val="22"/>
          <w:szCs w:val="22"/>
        </w:rPr>
        <w:t>mohl</w:t>
      </w:r>
      <w:r w:rsidRPr="009F4B52">
        <w:rPr>
          <w:rFonts w:ascii="Arial" w:hAnsi="Arial" w:cs="Arial"/>
          <w:sz w:val="22"/>
          <w:szCs w:val="22"/>
        </w:rPr>
        <w:t xml:space="preserve"> od vybraného dodavatele před uzavřením Smlouvy </w:t>
      </w:r>
      <w:r w:rsidR="009F4B52" w:rsidRPr="009F4B52">
        <w:rPr>
          <w:rFonts w:ascii="Arial" w:hAnsi="Arial" w:cs="Arial"/>
          <w:sz w:val="22"/>
          <w:szCs w:val="22"/>
        </w:rPr>
        <w:t>požadovat</w:t>
      </w:r>
      <w:r w:rsidRPr="009F4B52">
        <w:rPr>
          <w:rFonts w:ascii="Arial" w:hAnsi="Arial" w:cs="Arial"/>
          <w:sz w:val="22"/>
          <w:szCs w:val="22"/>
        </w:rPr>
        <w:t xml:space="preserve"> další dokument</w:t>
      </w:r>
      <w:r w:rsidR="009F4B52" w:rsidRPr="009F4B52">
        <w:rPr>
          <w:rFonts w:ascii="Arial" w:hAnsi="Arial" w:cs="Arial"/>
          <w:sz w:val="22"/>
          <w:szCs w:val="22"/>
        </w:rPr>
        <w:t>y. Těmi by</w:t>
      </w:r>
      <w:r w:rsidRPr="009F4B52">
        <w:rPr>
          <w:rFonts w:ascii="Arial" w:hAnsi="Arial" w:cs="Arial"/>
          <w:sz w:val="22"/>
          <w:szCs w:val="22"/>
        </w:rPr>
        <w:t xml:space="preserve"> </w:t>
      </w:r>
      <w:r w:rsidRPr="009F4B52">
        <w:rPr>
          <w:rFonts w:ascii="Arial" w:hAnsi="Arial" w:cs="Arial"/>
          <w:sz w:val="22"/>
          <w:szCs w:val="22"/>
        </w:rPr>
        <w:lastRenderedPageBreak/>
        <w:t>vybraný dodavatel proká</w:t>
      </w:r>
      <w:r w:rsidR="009F4B52" w:rsidRPr="009F4B52">
        <w:rPr>
          <w:rFonts w:ascii="Arial" w:hAnsi="Arial" w:cs="Arial"/>
          <w:sz w:val="22"/>
          <w:szCs w:val="22"/>
        </w:rPr>
        <w:t>zal</w:t>
      </w:r>
      <w:r w:rsidRPr="009F4B52">
        <w:rPr>
          <w:rFonts w:ascii="Arial" w:hAnsi="Arial" w:cs="Arial"/>
          <w:sz w:val="22"/>
          <w:szCs w:val="22"/>
        </w:rPr>
        <w:t>, že software dodávaný v rámci plnění bude po celou dobu trvání Smlouvy plně aktualizován a podporován výrobcem</w:t>
      </w:r>
      <w:r w:rsidR="009F4B52">
        <w:rPr>
          <w:rFonts w:ascii="Arial" w:hAnsi="Arial" w:cs="Arial"/>
          <w:sz w:val="22"/>
          <w:szCs w:val="22"/>
        </w:rPr>
        <w:t xml:space="preserve">. </w:t>
      </w:r>
      <w:r w:rsidR="009F4B52" w:rsidRPr="00D66D6B">
        <w:rPr>
          <w:rFonts w:ascii="Arial" w:hAnsi="Arial" w:cs="Arial"/>
          <w:b/>
          <w:sz w:val="22"/>
          <w:szCs w:val="22"/>
        </w:rPr>
        <w:t>Takovými dokumenty může být zejména</w:t>
      </w:r>
      <w:r w:rsidR="009F4B52" w:rsidRPr="009F4B52">
        <w:rPr>
          <w:rFonts w:ascii="Arial" w:hAnsi="Arial" w:cs="Arial"/>
          <w:sz w:val="22"/>
          <w:szCs w:val="22"/>
        </w:rPr>
        <w:t>:</w:t>
      </w:r>
    </w:p>
    <w:p w14:paraId="68E3364F" w14:textId="77777777" w:rsidR="009F4B52" w:rsidRPr="009F4B52" w:rsidRDefault="009F4B52" w:rsidP="009F4B52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4B52">
        <w:rPr>
          <w:rFonts w:ascii="Arial" w:hAnsi="Arial" w:cs="Arial"/>
        </w:rPr>
        <w:t>[</w:t>
      </w:r>
      <w:r w:rsidRPr="009F4B52">
        <w:rPr>
          <w:rFonts w:ascii="Arial" w:hAnsi="Arial" w:cs="Arial"/>
          <w:highlight w:val="yellow"/>
        </w:rPr>
        <w:t>DOPLNIT</w:t>
      </w:r>
      <w:r w:rsidRPr="009F4B52">
        <w:rPr>
          <w:rFonts w:ascii="Arial" w:hAnsi="Arial" w:cs="Arial"/>
        </w:rPr>
        <w:t>];</w:t>
      </w:r>
    </w:p>
    <w:p w14:paraId="6FA75594" w14:textId="77777777" w:rsidR="009F4B52" w:rsidRPr="009F4B52" w:rsidRDefault="009F4B52" w:rsidP="009F4B52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4B52">
        <w:rPr>
          <w:rFonts w:ascii="Arial" w:hAnsi="Arial" w:cs="Arial"/>
        </w:rPr>
        <w:t>[</w:t>
      </w:r>
      <w:r w:rsidRPr="009F4B52">
        <w:rPr>
          <w:rFonts w:ascii="Arial" w:hAnsi="Arial" w:cs="Arial"/>
          <w:highlight w:val="yellow"/>
        </w:rPr>
        <w:t>DOPLNIT</w:t>
      </w:r>
      <w:r w:rsidRPr="009F4B52">
        <w:rPr>
          <w:rFonts w:ascii="Arial" w:hAnsi="Arial" w:cs="Arial"/>
        </w:rPr>
        <w:t>].</w:t>
      </w:r>
    </w:p>
    <w:p w14:paraId="018B09A7" w14:textId="77777777" w:rsidR="009F4B52" w:rsidRDefault="009F4B52" w:rsidP="009F4B52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4DFDFAF2" w14:textId="77777777" w:rsidR="009F4B52" w:rsidRDefault="009F4B52" w:rsidP="009F4B52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ale žádné dokumenty k prokázání zajištění aktualizací a </w:t>
      </w:r>
      <w:r w:rsidR="00F437AF">
        <w:rPr>
          <w:rFonts w:ascii="Arial" w:hAnsi="Arial" w:cs="Arial"/>
          <w:sz w:val="22"/>
          <w:szCs w:val="22"/>
        </w:rPr>
        <w:t>podpory</w:t>
      </w:r>
      <w:r>
        <w:rPr>
          <w:rFonts w:ascii="Arial" w:hAnsi="Arial" w:cs="Arial"/>
          <w:sz w:val="22"/>
          <w:szCs w:val="22"/>
        </w:rPr>
        <w:t xml:space="preserve"> software nepožadoval. Spokojil se pouze s prohlášeními v </w:t>
      </w:r>
      <w:r w:rsidRPr="009F4B52">
        <w:rPr>
          <w:rFonts w:ascii="Arial" w:hAnsi="Arial" w:cs="Arial"/>
          <w:sz w:val="22"/>
          <w:szCs w:val="22"/>
          <w:highlight w:val="yellow"/>
        </w:rPr>
        <w:t>čl./odst. [DOPLNIT</w:t>
      </w:r>
      <w:r w:rsidRPr="009F4B52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Smlouvy. </w:t>
      </w:r>
      <w:r w:rsidR="00D3723E">
        <w:rPr>
          <w:rFonts w:ascii="Arial" w:hAnsi="Arial" w:cs="Arial"/>
          <w:sz w:val="22"/>
          <w:szCs w:val="22"/>
        </w:rPr>
        <w:t xml:space="preserve">Zcela se tak připravil o možnost předem ověřit, že </w:t>
      </w:r>
      <w:r w:rsidR="00782100">
        <w:rPr>
          <w:rFonts w:ascii="Arial" w:hAnsi="Arial" w:cs="Arial"/>
          <w:sz w:val="22"/>
          <w:szCs w:val="22"/>
        </w:rPr>
        <w:t xml:space="preserve">součásti </w:t>
      </w:r>
      <w:r w:rsidR="00D3723E">
        <w:rPr>
          <w:rFonts w:ascii="Arial" w:hAnsi="Arial" w:cs="Arial"/>
          <w:sz w:val="22"/>
          <w:szCs w:val="22"/>
        </w:rPr>
        <w:t>nabízen</w:t>
      </w:r>
      <w:r w:rsidR="00782100">
        <w:rPr>
          <w:rFonts w:ascii="Arial" w:hAnsi="Arial" w:cs="Arial"/>
          <w:sz w:val="22"/>
          <w:szCs w:val="22"/>
        </w:rPr>
        <w:t>ého</w:t>
      </w:r>
      <w:r w:rsidR="00D3723E">
        <w:rPr>
          <w:rFonts w:ascii="Arial" w:hAnsi="Arial" w:cs="Arial"/>
          <w:sz w:val="22"/>
          <w:szCs w:val="22"/>
        </w:rPr>
        <w:t xml:space="preserve"> software </w:t>
      </w:r>
      <w:r w:rsidR="00782100">
        <w:rPr>
          <w:rFonts w:ascii="Arial" w:hAnsi="Arial" w:cs="Arial"/>
          <w:sz w:val="22"/>
          <w:szCs w:val="22"/>
        </w:rPr>
        <w:t>je</w:t>
      </w:r>
      <w:r w:rsidR="00D3723E">
        <w:rPr>
          <w:rFonts w:ascii="Arial" w:hAnsi="Arial" w:cs="Arial"/>
          <w:sz w:val="22"/>
          <w:szCs w:val="22"/>
        </w:rPr>
        <w:t xml:space="preserve"> i nárok na aktualizace a </w:t>
      </w:r>
      <w:r w:rsidR="00782100">
        <w:rPr>
          <w:rFonts w:ascii="Arial" w:hAnsi="Arial" w:cs="Arial"/>
          <w:sz w:val="22"/>
          <w:szCs w:val="22"/>
        </w:rPr>
        <w:t>podporu</w:t>
      </w:r>
      <w:r w:rsidR="00D3723E">
        <w:rPr>
          <w:rFonts w:ascii="Arial" w:hAnsi="Arial" w:cs="Arial"/>
          <w:sz w:val="22"/>
          <w:szCs w:val="22"/>
        </w:rPr>
        <w:t>. To i přes rychlost</w:t>
      </w:r>
      <w:r w:rsidR="00782100">
        <w:rPr>
          <w:rFonts w:ascii="Arial" w:hAnsi="Arial" w:cs="Arial"/>
          <w:sz w:val="22"/>
          <w:szCs w:val="22"/>
        </w:rPr>
        <w:t xml:space="preserve"> vývoje</w:t>
      </w:r>
      <w:r w:rsidR="00D3723E">
        <w:rPr>
          <w:rFonts w:ascii="Arial" w:hAnsi="Arial" w:cs="Arial"/>
          <w:sz w:val="22"/>
          <w:szCs w:val="22"/>
        </w:rPr>
        <w:t xml:space="preserve"> software a </w:t>
      </w:r>
      <w:r w:rsidR="00782100">
        <w:rPr>
          <w:rFonts w:ascii="Arial" w:hAnsi="Arial" w:cs="Arial"/>
          <w:sz w:val="22"/>
          <w:szCs w:val="22"/>
        </w:rPr>
        <w:t>souvisejících</w:t>
      </w:r>
      <w:r w:rsidR="00D3723E">
        <w:rPr>
          <w:rFonts w:ascii="Arial" w:hAnsi="Arial" w:cs="Arial"/>
          <w:sz w:val="22"/>
          <w:szCs w:val="22"/>
        </w:rPr>
        <w:t xml:space="preserve"> bezpečnostní</w:t>
      </w:r>
      <w:r w:rsidR="00782100">
        <w:rPr>
          <w:rFonts w:ascii="Arial" w:hAnsi="Arial" w:cs="Arial"/>
          <w:sz w:val="22"/>
          <w:szCs w:val="22"/>
        </w:rPr>
        <w:t>ch</w:t>
      </w:r>
      <w:r w:rsidR="00D3723E">
        <w:rPr>
          <w:rFonts w:ascii="Arial" w:hAnsi="Arial" w:cs="Arial"/>
          <w:sz w:val="22"/>
          <w:szCs w:val="22"/>
        </w:rPr>
        <w:t xml:space="preserve"> hroz</w:t>
      </w:r>
      <w:r w:rsidR="00782100">
        <w:rPr>
          <w:rFonts w:ascii="Arial" w:hAnsi="Arial" w:cs="Arial"/>
          <w:sz w:val="22"/>
          <w:szCs w:val="22"/>
        </w:rPr>
        <w:t>e</w:t>
      </w:r>
      <w:r w:rsidR="00D3723E">
        <w:rPr>
          <w:rFonts w:ascii="Arial" w:hAnsi="Arial" w:cs="Arial"/>
          <w:sz w:val="22"/>
          <w:szCs w:val="22"/>
        </w:rPr>
        <w:t xml:space="preserve">b. </w:t>
      </w:r>
      <w:r w:rsidR="00B539FE">
        <w:rPr>
          <w:rFonts w:ascii="Arial" w:hAnsi="Arial" w:cs="Arial"/>
          <w:sz w:val="22"/>
          <w:szCs w:val="22"/>
        </w:rPr>
        <w:t>Právě bezpečnostní</w:t>
      </w:r>
      <w:r w:rsidR="00782100">
        <w:rPr>
          <w:rFonts w:ascii="Arial" w:hAnsi="Arial" w:cs="Arial"/>
          <w:sz w:val="22"/>
          <w:szCs w:val="22"/>
        </w:rPr>
        <w:t xml:space="preserve"> hrozby</w:t>
      </w:r>
      <w:r w:rsidR="00B539FE">
        <w:rPr>
          <w:rFonts w:ascii="Arial" w:hAnsi="Arial" w:cs="Arial"/>
          <w:sz w:val="22"/>
          <w:szCs w:val="22"/>
        </w:rPr>
        <w:t xml:space="preserve"> mnohdy cílí na software, který není aktualizován podle doporučení a pokynů výrobce. </w:t>
      </w:r>
      <w:r w:rsidR="00A20EA9" w:rsidRPr="009F4B52">
        <w:rPr>
          <w:rFonts w:ascii="Arial" w:hAnsi="Arial" w:cs="Arial"/>
          <w:b/>
          <w:sz w:val="22"/>
          <w:szCs w:val="22"/>
        </w:rPr>
        <w:t>Zadavatel se vystavuje riziku, že dodaný software nebude dále aktualizován, a později nebude zajištěna jeho bezpečnost. V konečném důsledku tak bude např. hac</w:t>
      </w:r>
      <w:r w:rsidR="00782100">
        <w:rPr>
          <w:rFonts w:ascii="Arial" w:hAnsi="Arial" w:cs="Arial"/>
          <w:b/>
          <w:sz w:val="22"/>
          <w:szCs w:val="22"/>
        </w:rPr>
        <w:t>kerskými útoky omezena činnost z</w:t>
      </w:r>
      <w:r w:rsidR="00A20EA9" w:rsidRPr="009F4B52">
        <w:rPr>
          <w:rFonts w:ascii="Arial" w:hAnsi="Arial" w:cs="Arial"/>
          <w:b/>
          <w:sz w:val="22"/>
          <w:szCs w:val="22"/>
        </w:rPr>
        <w:t>adavatele</w:t>
      </w:r>
      <w:r w:rsidR="00A20EA9" w:rsidRPr="009F4B52">
        <w:rPr>
          <w:rFonts w:ascii="Arial" w:hAnsi="Arial" w:cs="Arial"/>
          <w:sz w:val="22"/>
          <w:szCs w:val="22"/>
        </w:rPr>
        <w:t>.</w:t>
      </w:r>
    </w:p>
    <w:p w14:paraId="2391075C" w14:textId="77777777" w:rsidR="00A20EA9" w:rsidRDefault="00A20EA9" w:rsidP="009F4B52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0DD41384" w14:textId="77777777" w:rsidR="009F4B52" w:rsidRPr="009F4B52" w:rsidRDefault="00A20EA9" w:rsidP="003262AB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A20EA9">
        <w:rPr>
          <w:rFonts w:ascii="Arial" w:hAnsi="Arial" w:cs="Arial"/>
          <w:b/>
          <w:sz w:val="22"/>
          <w:szCs w:val="22"/>
        </w:rPr>
        <w:t>Software, který by dodavatelé případně nabízeli, aniž by k němu byla zajištěna podpora</w:t>
      </w:r>
      <w:r w:rsidR="00952ACE">
        <w:rPr>
          <w:rFonts w:ascii="Arial" w:hAnsi="Arial" w:cs="Arial"/>
          <w:b/>
          <w:sz w:val="22"/>
          <w:szCs w:val="22"/>
        </w:rPr>
        <w:t xml:space="preserve"> a</w:t>
      </w:r>
      <w:r w:rsidRPr="00A20EA9">
        <w:rPr>
          <w:rFonts w:ascii="Arial" w:hAnsi="Arial" w:cs="Arial"/>
          <w:b/>
          <w:sz w:val="22"/>
          <w:szCs w:val="22"/>
        </w:rPr>
        <w:t xml:space="preserve"> aktualizace, je logicky výrazně levnější. Dodavatelé software s podporou a aktualizacemi jsou tak diskriminování, protože cenově nemohou konkurovat. Jejich software ale, na rozdíl od toho, který nemá zajištěnou podporu výro</w:t>
      </w:r>
      <w:r w:rsidR="003C66B4">
        <w:rPr>
          <w:rFonts w:ascii="Arial" w:hAnsi="Arial" w:cs="Arial"/>
          <w:b/>
          <w:sz w:val="22"/>
          <w:szCs w:val="22"/>
        </w:rPr>
        <w:t>bce, může plnit předmět a účel V</w:t>
      </w:r>
      <w:r w:rsidRPr="00A20EA9">
        <w:rPr>
          <w:rFonts w:ascii="Arial" w:hAnsi="Arial" w:cs="Arial"/>
          <w:b/>
          <w:sz w:val="22"/>
          <w:szCs w:val="22"/>
        </w:rPr>
        <w:t>eřejné zakázky.</w:t>
      </w:r>
      <w:r w:rsidR="00952ACE">
        <w:rPr>
          <w:rFonts w:ascii="Arial" w:hAnsi="Arial" w:cs="Arial"/>
          <w:b/>
          <w:sz w:val="22"/>
          <w:szCs w:val="22"/>
        </w:rPr>
        <w:t xml:space="preserve"> Proto je stěžovatel přesvědčen, že jej</w:t>
      </w:r>
      <w:r w:rsidRPr="00A20EA9">
        <w:rPr>
          <w:rFonts w:ascii="Arial" w:hAnsi="Arial" w:cs="Arial"/>
          <w:b/>
          <w:sz w:val="22"/>
          <w:szCs w:val="22"/>
        </w:rPr>
        <w:t xml:space="preserve"> podmínk</w:t>
      </w:r>
      <w:r w:rsidR="00952ACE">
        <w:rPr>
          <w:rFonts w:ascii="Arial" w:hAnsi="Arial" w:cs="Arial"/>
          <w:b/>
          <w:sz w:val="22"/>
          <w:szCs w:val="22"/>
        </w:rPr>
        <w:t>y</w:t>
      </w:r>
      <w:r w:rsidRPr="00A20EA9">
        <w:rPr>
          <w:rFonts w:ascii="Arial" w:hAnsi="Arial" w:cs="Arial"/>
          <w:b/>
          <w:sz w:val="22"/>
          <w:szCs w:val="22"/>
        </w:rPr>
        <w:t xml:space="preserve"> Veřejné zakázky</w:t>
      </w:r>
      <w:r w:rsidR="00952ACE">
        <w:rPr>
          <w:rFonts w:ascii="Arial" w:hAnsi="Arial" w:cs="Arial"/>
          <w:b/>
          <w:sz w:val="22"/>
          <w:szCs w:val="22"/>
        </w:rPr>
        <w:t xml:space="preserve"> v rozporu s § 6 ZZVZ diskriminují</w:t>
      </w:r>
      <w:r>
        <w:rPr>
          <w:rFonts w:ascii="Arial" w:hAnsi="Arial" w:cs="Arial"/>
          <w:sz w:val="22"/>
          <w:szCs w:val="22"/>
        </w:rPr>
        <w:t>.</w:t>
      </w:r>
    </w:p>
    <w:p w14:paraId="1BFD602F" w14:textId="77777777" w:rsidR="00B43BBF" w:rsidRPr="009F4B52" w:rsidRDefault="00B43BBF" w:rsidP="00530F52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625FAB83" w14:textId="77777777" w:rsidR="0092091D" w:rsidRDefault="003262AB" w:rsidP="003262AB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  <w:commentRangeStart w:id="6"/>
      <w:r>
        <w:rPr>
          <w:rFonts w:ascii="Arial" w:hAnsi="Arial" w:cs="Arial"/>
          <w:b/>
          <w:smallCaps/>
          <w:color w:val="000000" w:themeColor="text1"/>
          <w:sz w:val="22"/>
          <w:szCs w:val="22"/>
        </w:rPr>
        <w:t>N</w:t>
      </w:r>
      <w:r w:rsidRPr="003262AB">
        <w:rPr>
          <w:rFonts w:ascii="Arial" w:hAnsi="Arial" w:cs="Arial"/>
          <w:b/>
          <w:smallCaps/>
          <w:color w:val="000000" w:themeColor="text1"/>
          <w:sz w:val="22"/>
          <w:szCs w:val="22"/>
        </w:rPr>
        <w:t>edostatečné smluvní sankce pro případ dodání software, který nebude způsobilý plnit předmět Veřejné zakázky</w:t>
      </w:r>
      <w:commentRangeEnd w:id="6"/>
      <w:r w:rsidR="00952ACE">
        <w:rPr>
          <w:rStyle w:val="Odkaznakoment"/>
          <w:rFonts w:asciiTheme="minorHAnsi" w:eastAsiaTheme="minorHAnsi" w:hAnsiTheme="minorHAnsi" w:cstheme="minorBidi"/>
          <w:color w:val="auto"/>
          <w:lang w:eastAsia="en-US"/>
        </w:rPr>
        <w:commentReference w:id="6"/>
      </w:r>
    </w:p>
    <w:p w14:paraId="0B43A286" w14:textId="77777777" w:rsidR="0092091D" w:rsidRPr="003262AB" w:rsidRDefault="0092091D" w:rsidP="003262AB">
      <w:pPr>
        <w:pStyle w:val="Default"/>
        <w:ind w:left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CBEB1AB" w14:textId="4BC4A70F" w:rsidR="003262AB" w:rsidRDefault="003262AB" w:rsidP="003262AB">
      <w:pPr>
        <w:pStyle w:val="Default"/>
        <w:ind w:left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Zadavatel </w:t>
      </w:r>
      <w:r w:rsidR="00952ACE">
        <w:rPr>
          <w:rFonts w:ascii="Arial" w:hAnsi="Arial" w:cs="Arial"/>
          <w:color w:val="000000" w:themeColor="text1"/>
          <w:sz w:val="22"/>
          <w:szCs w:val="22"/>
        </w:rPr>
        <w:t>ve Smlouvě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262AB">
        <w:rPr>
          <w:rFonts w:ascii="Arial" w:hAnsi="Arial" w:cs="Arial"/>
          <w:color w:val="000000" w:themeColor="text1"/>
          <w:sz w:val="22"/>
          <w:szCs w:val="22"/>
          <w:highlight w:val="yellow"/>
        </w:rPr>
        <w:t>nestanovil</w:t>
      </w:r>
      <w:r w:rsidR="001E4A2D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</w:t>
      </w:r>
      <w:r w:rsidRPr="003262AB">
        <w:rPr>
          <w:rFonts w:ascii="Arial" w:hAnsi="Arial" w:cs="Arial"/>
          <w:color w:val="000000" w:themeColor="text1"/>
          <w:sz w:val="22"/>
          <w:szCs w:val="22"/>
          <w:highlight w:val="yellow"/>
        </w:rPr>
        <w:t>/</w:t>
      </w:r>
      <w:r w:rsidR="001E4A2D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</w:t>
      </w:r>
      <w:r w:rsidRPr="003262AB">
        <w:rPr>
          <w:rFonts w:ascii="Arial" w:hAnsi="Arial" w:cs="Arial"/>
          <w:color w:val="000000" w:themeColor="text1"/>
          <w:sz w:val="22"/>
          <w:szCs w:val="22"/>
          <w:highlight w:val="yellow"/>
        </w:rPr>
        <w:t>stanovil nedostatečné sankce</w:t>
      </w:r>
      <w:r w:rsidRPr="00337BA7">
        <w:rPr>
          <w:rFonts w:ascii="Arial" w:hAnsi="Arial" w:cs="Arial"/>
          <w:color w:val="000000" w:themeColor="text1"/>
          <w:sz w:val="22"/>
          <w:szCs w:val="22"/>
        </w:rPr>
        <w:t xml:space="preserve"> zejména pro případ</w:t>
      </w:r>
      <w:r w:rsidR="00337BA7" w:rsidRPr="00337BA7">
        <w:rPr>
          <w:rFonts w:ascii="Arial" w:hAnsi="Arial" w:cs="Arial"/>
          <w:color w:val="000000" w:themeColor="text1"/>
          <w:sz w:val="22"/>
          <w:szCs w:val="22"/>
        </w:rPr>
        <w:t>, že</w:t>
      </w:r>
      <w:r w:rsidR="00337BA7">
        <w:rPr>
          <w:rFonts w:ascii="Arial" w:hAnsi="Arial" w:cs="Arial"/>
          <w:color w:val="000000" w:themeColor="text1"/>
          <w:sz w:val="22"/>
          <w:szCs w:val="22"/>
        </w:rPr>
        <w:t xml:space="preserve"> vybraný dodavatel, se kterým bude podepsána Smlouva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AB2AF6E" w14:textId="76E78FCD" w:rsidR="003262AB" w:rsidRDefault="00952ACE" w:rsidP="003262AB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dodá software</w:t>
      </w:r>
      <w:r w:rsidR="00337BA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jehož</w:t>
      </w:r>
      <w:r w:rsidR="00337BA7">
        <w:rPr>
          <w:rFonts w:ascii="Arial" w:hAnsi="Arial" w:cs="Arial"/>
          <w:color w:val="000000" w:themeColor="text1"/>
          <w:sz w:val="22"/>
          <w:szCs w:val="22"/>
        </w:rPr>
        <w:t xml:space="preserve"> používáním nebo dodáním </w:t>
      </w:r>
      <w:r w:rsidR="001F6926">
        <w:rPr>
          <w:rFonts w:ascii="Arial" w:hAnsi="Arial" w:cs="Arial"/>
          <w:color w:val="000000" w:themeColor="text1"/>
          <w:sz w:val="22"/>
          <w:szCs w:val="22"/>
        </w:rPr>
        <w:t>bude</w:t>
      </w:r>
      <w:r w:rsidR="00337B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neoprávněně</w:t>
      </w:r>
      <w:r w:rsidR="00F437AF">
        <w:rPr>
          <w:rFonts w:ascii="Arial" w:hAnsi="Arial" w:cs="Arial"/>
          <w:color w:val="000000" w:themeColor="text1"/>
          <w:sz w:val="22"/>
          <w:szCs w:val="22"/>
        </w:rPr>
        <w:t xml:space="preserve"> zasaženo do autorského práva</w:t>
      </w:r>
      <w:r w:rsidR="00337BA7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40105A6" w14:textId="072540C0" w:rsidR="00337BA7" w:rsidRDefault="00337BA7" w:rsidP="003262AB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dod</w:t>
      </w:r>
      <w:r w:rsidR="00F437AF">
        <w:rPr>
          <w:rFonts w:ascii="Arial" w:hAnsi="Arial" w:cs="Arial"/>
          <w:color w:val="000000" w:themeColor="text1"/>
          <w:sz w:val="22"/>
          <w:szCs w:val="22"/>
        </w:rPr>
        <w:t>á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F6926">
        <w:rPr>
          <w:rFonts w:ascii="Arial" w:hAnsi="Arial" w:cs="Arial"/>
          <w:color w:val="000000" w:themeColor="text1"/>
          <w:sz w:val="22"/>
          <w:szCs w:val="22"/>
        </w:rPr>
        <w:t>software nezpůsobilý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pro řádné a legální užívání k plnění účelu </w:t>
      </w:r>
      <w:r w:rsidR="00952ACE">
        <w:rPr>
          <w:rFonts w:ascii="Arial" w:hAnsi="Arial" w:cs="Arial"/>
          <w:color w:val="000000" w:themeColor="text1"/>
          <w:sz w:val="22"/>
          <w:szCs w:val="22"/>
        </w:rPr>
        <w:t>V</w:t>
      </w:r>
      <w:r>
        <w:rPr>
          <w:rFonts w:ascii="Arial" w:hAnsi="Arial" w:cs="Arial"/>
          <w:color w:val="000000" w:themeColor="text1"/>
          <w:sz w:val="22"/>
          <w:szCs w:val="22"/>
        </w:rPr>
        <w:t>eřejné zakázky;</w:t>
      </w:r>
    </w:p>
    <w:p w14:paraId="2642805B" w14:textId="501F2352" w:rsidR="00337BA7" w:rsidRDefault="00952ACE" w:rsidP="003262AB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dod</w:t>
      </w:r>
      <w:r w:rsidR="00F437AF">
        <w:rPr>
          <w:rFonts w:ascii="Arial" w:hAnsi="Arial" w:cs="Arial"/>
          <w:color w:val="000000" w:themeColor="text1"/>
          <w:sz w:val="22"/>
          <w:szCs w:val="22"/>
        </w:rPr>
        <w:t>á</w:t>
      </w:r>
      <w:r w:rsidR="00337BA7">
        <w:rPr>
          <w:rFonts w:ascii="Arial" w:hAnsi="Arial" w:cs="Arial"/>
          <w:color w:val="000000" w:themeColor="text1"/>
          <w:sz w:val="22"/>
          <w:szCs w:val="22"/>
        </w:rPr>
        <w:t xml:space="preserve"> software nedisponující podporou </w:t>
      </w:r>
      <w:r w:rsidR="00337BA7" w:rsidRPr="00B00B77">
        <w:rPr>
          <w:rFonts w:ascii="Arial" w:hAnsi="Arial" w:cs="Arial"/>
          <w:color w:val="000000" w:themeColor="text1"/>
          <w:sz w:val="22"/>
          <w:szCs w:val="22"/>
          <w:highlight w:val="yellow"/>
        </w:rPr>
        <w:t>držitele autorských práv / původce</w:t>
      </w:r>
      <w:r w:rsidR="00337BA7">
        <w:rPr>
          <w:rFonts w:ascii="Arial" w:hAnsi="Arial" w:cs="Arial"/>
          <w:color w:val="000000" w:themeColor="text1"/>
          <w:sz w:val="22"/>
          <w:szCs w:val="22"/>
        </w:rPr>
        <w:t xml:space="preserve">, případně </w:t>
      </w:r>
      <w:r w:rsidR="00F437AF">
        <w:rPr>
          <w:rFonts w:ascii="Arial" w:hAnsi="Arial" w:cs="Arial"/>
          <w:color w:val="000000" w:themeColor="text1"/>
          <w:sz w:val="22"/>
          <w:szCs w:val="22"/>
        </w:rPr>
        <w:t>takov</w:t>
      </w:r>
      <w:r w:rsidR="001F6926">
        <w:rPr>
          <w:rFonts w:ascii="Arial" w:hAnsi="Arial" w:cs="Arial"/>
          <w:color w:val="000000" w:themeColor="text1"/>
          <w:sz w:val="22"/>
          <w:szCs w:val="22"/>
        </w:rPr>
        <w:t>ý</w:t>
      </w:r>
      <w:r w:rsidR="00F437AF">
        <w:rPr>
          <w:rFonts w:ascii="Arial" w:hAnsi="Arial" w:cs="Arial"/>
          <w:color w:val="000000" w:themeColor="text1"/>
          <w:sz w:val="22"/>
          <w:szCs w:val="22"/>
        </w:rPr>
        <w:t>, kter</w:t>
      </w:r>
      <w:r w:rsidR="001F6926">
        <w:rPr>
          <w:rFonts w:ascii="Arial" w:hAnsi="Arial" w:cs="Arial"/>
          <w:color w:val="000000" w:themeColor="text1"/>
          <w:sz w:val="22"/>
          <w:szCs w:val="22"/>
        </w:rPr>
        <w:t>ý</w:t>
      </w:r>
      <w:r w:rsidR="00F437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7BA7">
        <w:rPr>
          <w:rFonts w:ascii="Arial" w:hAnsi="Arial" w:cs="Arial"/>
          <w:color w:val="000000" w:themeColor="text1"/>
          <w:sz w:val="22"/>
          <w:szCs w:val="22"/>
        </w:rPr>
        <w:t>není možné dále aktualizovat</w:t>
      </w:r>
      <w:r w:rsidR="00B00B7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042EEBC" w14:textId="77777777" w:rsidR="00B00B77" w:rsidRDefault="00B00B77" w:rsidP="00B00B77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CD8DAC" w14:textId="77777777" w:rsidR="00B00B77" w:rsidRDefault="00DE485B" w:rsidP="00B00B77">
      <w:pPr>
        <w:pStyle w:val="Default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 přes rizika spojená s dodáním druhotného software popsaná v předchozích částech těchto námitek zadavatel nevyužil svého oprávnění, a na popsaná rizika nereagoval odpovídajícím nastavením sankčních ustanovení Smlouvy. Zadávací dokumentace Veřejné zakázky tak nejenže nepředchází dodání nezpůsobilého software, ale </w:t>
      </w:r>
      <w:r w:rsidR="00952ACE">
        <w:rPr>
          <w:rFonts w:ascii="Arial" w:hAnsi="Arial" w:cs="Arial"/>
          <w:color w:val="000000" w:themeColor="text1"/>
          <w:sz w:val="22"/>
          <w:szCs w:val="22"/>
        </w:rPr>
        <w:t>navíc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jej (Smlouva) </w:t>
      </w:r>
      <w:r w:rsidRPr="00DE485B">
        <w:rPr>
          <w:rFonts w:ascii="Arial" w:hAnsi="Arial" w:cs="Arial"/>
          <w:color w:val="000000" w:themeColor="text1"/>
          <w:sz w:val="22"/>
          <w:szCs w:val="22"/>
          <w:highlight w:val="yellow"/>
        </w:rPr>
        <w:t>nesankcionuje / nedostatečně sankcionuje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2C0BE20" w14:textId="77777777" w:rsidR="0051090E" w:rsidRDefault="0051090E" w:rsidP="00B00B77">
      <w:pPr>
        <w:pStyle w:val="Default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74AA5C5" w14:textId="77777777" w:rsidR="0051090E" w:rsidRDefault="0051090E" w:rsidP="00B00B77">
      <w:pPr>
        <w:pStyle w:val="Default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Zjistí-li zadavatel v průběhu plnění Smlouvy výše popsané skutečnosti, bude velmi omezen ve vymáhání jakékoliv náhrady. Nadto Smlouva postrádá ustanovení, která by dodavatele motivovala od jejího porušování. </w:t>
      </w:r>
      <w:r w:rsidRPr="00952ACE">
        <w:rPr>
          <w:rFonts w:ascii="Arial" w:hAnsi="Arial" w:cs="Arial"/>
          <w:b/>
          <w:color w:val="000000" w:themeColor="text1"/>
          <w:sz w:val="22"/>
          <w:szCs w:val="22"/>
        </w:rPr>
        <w:t>Smluvní pokuta má i preventivně-motivační funkci.</w:t>
      </w:r>
      <w:r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7"/>
      </w:r>
    </w:p>
    <w:p w14:paraId="65C666BB" w14:textId="77777777" w:rsidR="0051090E" w:rsidRDefault="0051090E" w:rsidP="00B00B77">
      <w:pPr>
        <w:pStyle w:val="Default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76010EB" w14:textId="77777777" w:rsidR="0051090E" w:rsidRDefault="002173BD" w:rsidP="00B00B77">
      <w:pPr>
        <w:pStyle w:val="Default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[</w:t>
      </w:r>
      <w:r w:rsidRPr="002173BD">
        <w:rPr>
          <w:rFonts w:ascii="Arial" w:hAnsi="Arial" w:cs="Arial"/>
          <w:color w:val="000000" w:themeColor="text1"/>
          <w:sz w:val="22"/>
          <w:szCs w:val="22"/>
          <w:highlight w:val="yellow"/>
        </w:rPr>
        <w:t>ZDE PŘÍPADNĚ DOPLNIT DALŠÍ SKUTEČNOSTI O NEDOSTATEČNOSTI SMLUVNÍCH UJEDNÁNÍ</w:t>
      </w:r>
      <w:r>
        <w:rPr>
          <w:rFonts w:ascii="Arial" w:hAnsi="Arial" w:cs="Arial"/>
          <w:color w:val="000000" w:themeColor="text1"/>
          <w:sz w:val="22"/>
          <w:szCs w:val="22"/>
        </w:rPr>
        <w:t>]</w:t>
      </w:r>
    </w:p>
    <w:p w14:paraId="0B75B9F4" w14:textId="77777777" w:rsidR="0051090E" w:rsidRDefault="0051090E" w:rsidP="00B00B77">
      <w:pPr>
        <w:pStyle w:val="Default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6B6A0E" w14:textId="77777777" w:rsidR="002173BD" w:rsidRPr="002173BD" w:rsidRDefault="002173BD" w:rsidP="00B00B77">
      <w:pPr>
        <w:pStyle w:val="Default"/>
        <w:ind w:left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73BD">
        <w:rPr>
          <w:rFonts w:ascii="Arial" w:hAnsi="Arial" w:cs="Arial"/>
          <w:b/>
          <w:color w:val="000000" w:themeColor="text1"/>
          <w:sz w:val="22"/>
          <w:szCs w:val="22"/>
        </w:rPr>
        <w:t>Z popsaných důvodů má stěžovatel za to, že zadavatel zcela rezignoval na sestavení zadávacích podmínek a Smlouvy odpovídající rizikům na trhu. Umožnil tak účast i d</w:t>
      </w:r>
      <w:r w:rsidR="00DB5F0D">
        <w:rPr>
          <w:rFonts w:ascii="Arial" w:hAnsi="Arial" w:cs="Arial"/>
          <w:b/>
          <w:color w:val="000000" w:themeColor="text1"/>
          <w:sz w:val="22"/>
          <w:szCs w:val="22"/>
        </w:rPr>
        <w:t>odavatelům, kteří vědomě nabízej</w:t>
      </w:r>
      <w:r w:rsidRPr="002173BD">
        <w:rPr>
          <w:rFonts w:ascii="Arial" w:hAnsi="Arial" w:cs="Arial"/>
          <w:b/>
          <w:color w:val="000000" w:themeColor="text1"/>
          <w:sz w:val="22"/>
          <w:szCs w:val="22"/>
        </w:rPr>
        <w:t>í nezpůsobilý software</w:t>
      </w:r>
      <w:r w:rsidR="00DB5F0D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2173B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B5F0D">
        <w:rPr>
          <w:rFonts w:ascii="Arial" w:hAnsi="Arial" w:cs="Arial"/>
          <w:b/>
          <w:color w:val="000000" w:themeColor="text1"/>
          <w:sz w:val="22"/>
          <w:szCs w:val="22"/>
        </w:rPr>
        <w:t>Tím</w:t>
      </w:r>
      <w:r w:rsidRPr="002173B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2173BD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diskriminuje ty nabízející řádný software. Z toho dův</w:t>
      </w:r>
      <w:r w:rsidR="00DB5F0D">
        <w:rPr>
          <w:rFonts w:ascii="Arial" w:hAnsi="Arial" w:cs="Arial"/>
          <w:b/>
          <w:color w:val="000000" w:themeColor="text1"/>
          <w:sz w:val="22"/>
          <w:szCs w:val="22"/>
        </w:rPr>
        <w:t>odu by zadávací podmínky V</w:t>
      </w:r>
      <w:r w:rsidRPr="002173BD">
        <w:rPr>
          <w:rFonts w:ascii="Arial" w:hAnsi="Arial" w:cs="Arial"/>
          <w:b/>
          <w:color w:val="000000" w:themeColor="text1"/>
          <w:sz w:val="22"/>
          <w:szCs w:val="22"/>
        </w:rPr>
        <w:t xml:space="preserve">eřejné zakázky měly být pro rozpor se zásadou diskriminace dle § 6 ZZVZ zrušeny. </w:t>
      </w:r>
    </w:p>
    <w:p w14:paraId="39D07F91" w14:textId="77777777" w:rsidR="0092091D" w:rsidRPr="003262AB" w:rsidRDefault="0092091D" w:rsidP="002173BD">
      <w:pPr>
        <w:pStyle w:val="Default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BAA769" w14:textId="77777777" w:rsidR="00B43BBF" w:rsidRPr="009F4B52" w:rsidRDefault="00F437AF" w:rsidP="00B43BBF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  <w:commentRangeStart w:id="7"/>
      <w:r>
        <w:rPr>
          <w:rFonts w:ascii="Arial" w:hAnsi="Arial" w:cs="Arial"/>
          <w:b/>
          <w:smallCaps/>
          <w:color w:val="000000" w:themeColor="text1"/>
          <w:sz w:val="22"/>
          <w:szCs w:val="22"/>
        </w:rPr>
        <w:t>Mimořádně nízká nabídková cena</w:t>
      </w:r>
      <w:commentRangeEnd w:id="7"/>
      <w:r w:rsidR="00E46431">
        <w:rPr>
          <w:rStyle w:val="Odkaznakoment"/>
          <w:rFonts w:asciiTheme="minorHAnsi" w:eastAsiaTheme="minorHAnsi" w:hAnsiTheme="minorHAnsi" w:cstheme="minorBidi"/>
          <w:color w:val="auto"/>
          <w:lang w:eastAsia="en-US"/>
        </w:rPr>
        <w:commentReference w:id="7"/>
      </w:r>
    </w:p>
    <w:p w14:paraId="29B5106F" w14:textId="77777777" w:rsidR="00B43BBF" w:rsidRPr="009F4B52" w:rsidRDefault="00B43BBF" w:rsidP="00B43BBF">
      <w:pPr>
        <w:pStyle w:val="Default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2442906" w14:textId="77777777" w:rsidR="00E84485" w:rsidRDefault="00B43BBF" w:rsidP="000C1493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Zadavatel má na základě § 113 odst. 2 ZZVZ před odesláním oznámení o výběru dodavatele povinnost posoudit, zda nabídková cena Vybraného dodavatele není </w:t>
      </w:r>
      <w:r w:rsidR="00DB5F0D">
        <w:rPr>
          <w:rFonts w:ascii="Arial" w:hAnsi="Arial" w:cs="Arial"/>
          <w:color w:val="000000" w:themeColor="text1"/>
          <w:sz w:val="22"/>
          <w:szCs w:val="22"/>
        </w:rPr>
        <w:t>mimořádně nízkou nabídkovou cenou (dále jen „</w:t>
      </w:r>
      <w:r w:rsidR="00DB5F0D">
        <w:rPr>
          <w:rFonts w:ascii="Arial" w:hAnsi="Arial" w:cs="Arial"/>
          <w:b/>
          <w:color w:val="000000" w:themeColor="text1"/>
          <w:sz w:val="22"/>
          <w:szCs w:val="22"/>
        </w:rPr>
        <w:t>MNNC</w:t>
      </w:r>
      <w:r w:rsidR="00DB5F0D">
        <w:rPr>
          <w:rFonts w:ascii="Arial" w:hAnsi="Arial" w:cs="Arial"/>
          <w:color w:val="000000" w:themeColor="text1"/>
          <w:sz w:val="22"/>
          <w:szCs w:val="22"/>
        </w:rPr>
        <w:t>“).</w:t>
      </w:r>
      <w:r w:rsidR="00E844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F4B52">
        <w:rPr>
          <w:rFonts w:ascii="Arial" w:hAnsi="Arial" w:cs="Arial"/>
          <w:color w:val="000000" w:themeColor="text1"/>
          <w:sz w:val="22"/>
          <w:szCs w:val="22"/>
        </w:rPr>
        <w:t>Institut MNNC chrání zadavatele před nabídkami založenými na nereálných cenách, případně nabídkami vedoucími k neprovedení, nebo nekvalitnímu provedení předmětu Veřejné zakázky.</w:t>
      </w:r>
      <w:r w:rsidRPr="009F4B52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8"/>
      </w: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BE69596" w14:textId="77777777" w:rsidR="00E84485" w:rsidRDefault="00E84485" w:rsidP="000C1493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055D21" w14:textId="77777777" w:rsidR="00E84485" w:rsidRDefault="00E84485" w:rsidP="000C1493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 případě veřejných zakázek, jejichž součástí je dodání software,</w:t>
      </w:r>
      <w:r w:rsidRPr="000C1493"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r>
        <w:rPr>
          <w:rFonts w:ascii="Arial" w:hAnsi="Arial" w:cs="Arial"/>
          <w:color w:val="000000" w:themeColor="text1"/>
          <w:sz w:val="22"/>
          <w:szCs w:val="22"/>
        </w:rPr>
        <w:t>riziko MNNC naprosto evidentní.</w:t>
      </w:r>
      <w:r w:rsidRPr="000C14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Pr="000C1493">
        <w:rPr>
          <w:rFonts w:ascii="Arial" w:hAnsi="Arial" w:cs="Arial"/>
          <w:color w:val="000000" w:themeColor="text1"/>
          <w:sz w:val="22"/>
          <w:szCs w:val="22"/>
        </w:rPr>
        <w:t xml:space="preserve">rávě z důvodů </w:t>
      </w:r>
      <w:r>
        <w:rPr>
          <w:rFonts w:ascii="Arial" w:hAnsi="Arial" w:cs="Arial"/>
          <w:color w:val="000000" w:themeColor="text1"/>
          <w:sz w:val="22"/>
          <w:szCs w:val="22"/>
        </w:rPr>
        <w:t>možného nabízení problematických druhotných licencí</w:t>
      </w:r>
      <w:r w:rsidRPr="000C1493">
        <w:rPr>
          <w:rFonts w:ascii="Arial" w:hAnsi="Arial" w:cs="Arial"/>
          <w:color w:val="000000" w:themeColor="text1"/>
          <w:sz w:val="22"/>
          <w:szCs w:val="22"/>
        </w:rPr>
        <w:t xml:space="preserve">, jak je popsáno v předchozích částech </w:t>
      </w:r>
      <w:r w:rsidR="00F437AF">
        <w:rPr>
          <w:rFonts w:ascii="Arial" w:hAnsi="Arial" w:cs="Arial"/>
          <w:color w:val="000000" w:themeColor="text1"/>
          <w:sz w:val="22"/>
          <w:szCs w:val="22"/>
        </w:rPr>
        <w:t>těchto námitek</w:t>
      </w:r>
      <w:r>
        <w:rPr>
          <w:rFonts w:ascii="Arial" w:hAnsi="Arial" w:cs="Arial"/>
          <w:color w:val="000000" w:themeColor="text1"/>
          <w:sz w:val="22"/>
          <w:szCs w:val="22"/>
        </w:rPr>
        <w:t>. Dodavatelé software obsahujícího výše popisované vady a nedostatky snadnou</w:t>
      </w:r>
      <w:r w:rsidRPr="000C1493">
        <w:rPr>
          <w:rFonts w:ascii="Arial" w:hAnsi="Arial" w:cs="Arial"/>
          <w:color w:val="000000" w:themeColor="text1"/>
          <w:sz w:val="22"/>
          <w:szCs w:val="22"/>
        </w:rPr>
        <w:t xml:space="preserve"> dosáhnou nesrovnatelně nižší ceny </w:t>
      </w:r>
      <w:r>
        <w:rPr>
          <w:rFonts w:ascii="Arial" w:hAnsi="Arial" w:cs="Arial"/>
          <w:color w:val="000000" w:themeColor="text1"/>
          <w:sz w:val="22"/>
          <w:szCs w:val="22"/>
        </w:rPr>
        <w:t>dodávaného software.</w:t>
      </w:r>
    </w:p>
    <w:p w14:paraId="10D29954" w14:textId="77777777" w:rsidR="00E84485" w:rsidRDefault="00E84485" w:rsidP="000C1493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50D2ED" w14:textId="77777777" w:rsidR="000C1493" w:rsidRPr="000C1493" w:rsidRDefault="00B43BBF" w:rsidP="00F437AF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Podle názoru stěžovatele by právě hrozba neprovedení, nebo nekvalitního </w:t>
      </w:r>
      <w:r w:rsidR="00DB5F0D">
        <w:rPr>
          <w:rFonts w:ascii="Arial" w:hAnsi="Arial" w:cs="Arial"/>
          <w:color w:val="000000" w:themeColor="text1"/>
          <w:sz w:val="22"/>
          <w:szCs w:val="22"/>
        </w:rPr>
        <w:t>plnění</w:t>
      </w: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 měla být důvodem, aby zadavatel nabídkovým cenám věnoval náležitou pozornost</w:t>
      </w:r>
      <w:r w:rsidR="00DB5F0D">
        <w:rPr>
          <w:rFonts w:ascii="Arial" w:hAnsi="Arial" w:cs="Arial"/>
          <w:color w:val="000000" w:themeColor="text1"/>
          <w:sz w:val="22"/>
          <w:szCs w:val="22"/>
        </w:rPr>
        <w:t xml:space="preserve"> již při formulaci Zadávací </w:t>
      </w:r>
      <w:r w:rsidR="00892C81">
        <w:rPr>
          <w:rFonts w:ascii="Arial" w:hAnsi="Arial" w:cs="Arial"/>
          <w:color w:val="000000" w:themeColor="text1"/>
          <w:sz w:val="22"/>
          <w:szCs w:val="22"/>
        </w:rPr>
        <w:t>dokumentace</w:t>
      </w: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B5F0D">
        <w:rPr>
          <w:rFonts w:ascii="Arial" w:hAnsi="Arial" w:cs="Arial"/>
          <w:color w:val="000000" w:themeColor="text1"/>
          <w:sz w:val="22"/>
          <w:szCs w:val="22"/>
        </w:rPr>
        <w:t>Zvláště druhotné licence obsahující výše popsané nedostatky mohou být odhaleny prostřednictvím MNNC</w:t>
      </w:r>
      <w:r w:rsidRPr="009F4B52">
        <w:rPr>
          <w:rFonts w:ascii="Arial" w:hAnsi="Arial" w:cs="Arial"/>
          <w:color w:val="000000" w:themeColor="text1"/>
          <w:sz w:val="22"/>
          <w:szCs w:val="22"/>
        </w:rPr>
        <w:t>.</w:t>
      </w:r>
      <w:r w:rsidR="00DB5F0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5F0D" w:rsidRPr="00E84485">
        <w:rPr>
          <w:rFonts w:ascii="Arial" w:hAnsi="Arial" w:cs="Arial"/>
          <w:b/>
          <w:color w:val="000000" w:themeColor="text1"/>
          <w:sz w:val="22"/>
          <w:szCs w:val="22"/>
        </w:rPr>
        <w:t xml:space="preserve">Proto by bylo logické, aby MNNC byla </w:t>
      </w:r>
      <w:r w:rsidR="00F437AF">
        <w:rPr>
          <w:rFonts w:ascii="Arial" w:hAnsi="Arial" w:cs="Arial"/>
          <w:b/>
          <w:color w:val="000000" w:themeColor="text1"/>
          <w:sz w:val="22"/>
          <w:szCs w:val="22"/>
        </w:rPr>
        <w:t>stanovena</w:t>
      </w:r>
      <w:r w:rsidR="00DB5F0D" w:rsidRPr="00E84485">
        <w:rPr>
          <w:rFonts w:ascii="Arial" w:hAnsi="Arial" w:cs="Arial"/>
          <w:b/>
          <w:color w:val="000000" w:themeColor="text1"/>
          <w:sz w:val="22"/>
          <w:szCs w:val="22"/>
        </w:rPr>
        <w:t xml:space="preserve"> již v </w:t>
      </w:r>
      <w:r w:rsidR="003C66B4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 w:rsidR="00DB5F0D" w:rsidRPr="00E84485">
        <w:rPr>
          <w:rFonts w:ascii="Arial" w:hAnsi="Arial" w:cs="Arial"/>
          <w:b/>
          <w:color w:val="000000" w:themeColor="text1"/>
          <w:sz w:val="22"/>
          <w:szCs w:val="22"/>
        </w:rPr>
        <w:t>adávací dokumentaci</w:t>
      </w:r>
      <w:r w:rsidR="00DB5F0D">
        <w:rPr>
          <w:rFonts w:ascii="Arial" w:hAnsi="Arial" w:cs="Arial"/>
          <w:color w:val="000000" w:themeColor="text1"/>
          <w:sz w:val="22"/>
          <w:szCs w:val="22"/>
        </w:rPr>
        <w:t>.</w:t>
      </w:r>
      <w:r w:rsidR="000C1493" w:rsidRPr="000C149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4485">
        <w:rPr>
          <w:rFonts w:ascii="Arial" w:hAnsi="Arial" w:cs="Arial"/>
          <w:color w:val="000000" w:themeColor="text1"/>
          <w:sz w:val="22"/>
          <w:szCs w:val="22"/>
        </w:rPr>
        <w:t>Dodavatelé by tak předem věděli, že důvody takto nízké ceny budou muset vysvětlit a zadavatel je bude zkoumat.</w:t>
      </w:r>
    </w:p>
    <w:p w14:paraId="09B8BCC5" w14:textId="77777777" w:rsidR="000C1493" w:rsidRPr="000C1493" w:rsidRDefault="000C1493" w:rsidP="000C1493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F2E8FFC" w14:textId="77777777" w:rsidR="00B43BBF" w:rsidRPr="009F4B52" w:rsidRDefault="00E84485" w:rsidP="00B43BBF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 úplnost stěžovatel uvádí, že p</w:t>
      </w:r>
      <w:r w:rsidR="00B43BBF" w:rsidRPr="009F4B52">
        <w:rPr>
          <w:rFonts w:ascii="Arial" w:hAnsi="Arial" w:cs="Arial"/>
          <w:color w:val="000000" w:themeColor="text1"/>
          <w:sz w:val="22"/>
          <w:szCs w:val="22"/>
        </w:rPr>
        <w:t>osouzení MNNC se podle ustálené rozhodovací praxe nevztahuje pouze k nabídkové ceně jako celku, ale i k jednotlivým položkám jako částem nabídkové ceny: „</w:t>
      </w:r>
      <w:r w:rsidR="00B43BBF" w:rsidRPr="009F4B52">
        <w:rPr>
          <w:rFonts w:ascii="Arial" w:hAnsi="Arial" w:cs="Arial"/>
          <w:i/>
          <w:color w:val="000000" w:themeColor="text1"/>
          <w:sz w:val="22"/>
          <w:szCs w:val="22"/>
        </w:rPr>
        <w:t xml:space="preserve">K tomu Úřad dále uvádí, že v rámci procesu posouzení MNNC se posuzuje </w:t>
      </w:r>
      <w:r w:rsidR="00B43BBF" w:rsidRPr="009F4B52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nejenom nabídková cena celková, ale i dílčí nabídkové ceny v jednotlivých položkách nabídky, přičemž závěr zadavatele ohledně MNNC v nabídce navrhovatele může být opřen právě o údaje obsažené v dílčích položkách nabídky</w:t>
      </w:r>
      <w:r w:rsidR="00B43BBF" w:rsidRPr="009F4B52">
        <w:rPr>
          <w:rFonts w:ascii="Arial" w:hAnsi="Arial" w:cs="Arial"/>
          <w:i/>
          <w:color w:val="000000" w:themeColor="text1"/>
          <w:sz w:val="22"/>
          <w:szCs w:val="22"/>
        </w:rPr>
        <w:t xml:space="preserve"> (viz např. rozhodnutí Úřadu č. j. S0543/2016/VZ-39734/2016/511/</w:t>
      </w:r>
      <w:proofErr w:type="spellStart"/>
      <w:r w:rsidR="00B43BBF" w:rsidRPr="009F4B52">
        <w:rPr>
          <w:rFonts w:ascii="Arial" w:hAnsi="Arial" w:cs="Arial"/>
          <w:i/>
          <w:color w:val="000000" w:themeColor="text1"/>
          <w:sz w:val="22"/>
          <w:szCs w:val="22"/>
        </w:rPr>
        <w:t>ABt</w:t>
      </w:r>
      <w:proofErr w:type="spellEnd"/>
      <w:r w:rsidR="00B43BBF" w:rsidRPr="009F4B52">
        <w:rPr>
          <w:rFonts w:ascii="Arial" w:hAnsi="Arial" w:cs="Arial"/>
          <w:i/>
          <w:color w:val="000000" w:themeColor="text1"/>
          <w:sz w:val="22"/>
          <w:szCs w:val="22"/>
        </w:rPr>
        <w:t xml:space="preserve"> ze dne 15. 10. 2016 nebo rozsudek Krajského soudu v Brně č. j. 62 </w:t>
      </w:r>
      <w:proofErr w:type="spellStart"/>
      <w:r w:rsidR="00B43BBF" w:rsidRPr="009F4B52">
        <w:rPr>
          <w:rFonts w:ascii="Arial" w:hAnsi="Arial" w:cs="Arial"/>
          <w:i/>
          <w:color w:val="000000" w:themeColor="text1"/>
          <w:sz w:val="22"/>
          <w:szCs w:val="22"/>
        </w:rPr>
        <w:t>Af</w:t>
      </w:r>
      <w:proofErr w:type="spellEnd"/>
      <w:r w:rsidR="00B43BBF" w:rsidRPr="009F4B52">
        <w:rPr>
          <w:rFonts w:ascii="Arial" w:hAnsi="Arial" w:cs="Arial"/>
          <w:i/>
          <w:color w:val="000000" w:themeColor="text1"/>
          <w:sz w:val="22"/>
          <w:szCs w:val="22"/>
        </w:rPr>
        <w:t xml:space="preserve"> 104/2018 – 167 ze dne 12. 3. 2020).</w:t>
      </w:r>
      <w:r w:rsidR="00B43BBF" w:rsidRPr="009F4B52">
        <w:rPr>
          <w:rFonts w:ascii="Arial" w:hAnsi="Arial" w:cs="Arial"/>
          <w:color w:val="000000" w:themeColor="text1"/>
          <w:sz w:val="22"/>
          <w:szCs w:val="22"/>
        </w:rPr>
        <w:t>“</w:t>
      </w:r>
      <w:r w:rsidR="00B43BBF" w:rsidRPr="009F4B52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9"/>
      </w:r>
      <w:r w:rsidR="0092091D">
        <w:rPr>
          <w:rFonts w:ascii="Arial" w:hAnsi="Arial" w:cs="Arial"/>
          <w:color w:val="000000" w:themeColor="text1"/>
          <w:sz w:val="22"/>
          <w:szCs w:val="22"/>
        </w:rPr>
        <w:t xml:space="preserve"> Důvodem pro posouzení nabídkové ceny jako MNNC proto může být i cena nabízeného software uvedená v položkovém rozpočtu v rámci nabídky.</w:t>
      </w:r>
    </w:p>
    <w:p w14:paraId="085675CA" w14:textId="77777777" w:rsidR="000C1493" w:rsidRPr="009F4B52" w:rsidRDefault="000C1493" w:rsidP="00B43BBF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7F1858B" w14:textId="77777777" w:rsidR="00B43BBF" w:rsidRPr="009F4B52" w:rsidRDefault="0092091D" w:rsidP="00B43BBF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2091D">
        <w:rPr>
          <w:rFonts w:ascii="Arial" w:hAnsi="Arial" w:cs="Arial"/>
          <w:b/>
          <w:color w:val="000000" w:themeColor="text1"/>
          <w:sz w:val="22"/>
          <w:szCs w:val="22"/>
        </w:rPr>
        <w:t xml:space="preserve">S ohledem na uvedené má stěžovatel za to, že zadavatel postupoval v rozporu se ZZVZ, zásadou zákazu diskriminace dle § 6 ZZVZ , když v Zadávací </w:t>
      </w:r>
      <w:r w:rsidR="00892C81">
        <w:rPr>
          <w:rFonts w:ascii="Arial" w:hAnsi="Arial" w:cs="Arial"/>
          <w:b/>
          <w:color w:val="000000" w:themeColor="text1"/>
          <w:sz w:val="22"/>
          <w:szCs w:val="22"/>
        </w:rPr>
        <w:t>dokumentac</w:t>
      </w:r>
      <w:r w:rsidR="00F437AF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Pr="0092091D">
        <w:rPr>
          <w:rFonts w:ascii="Arial" w:hAnsi="Arial" w:cs="Arial"/>
          <w:b/>
          <w:color w:val="000000" w:themeColor="text1"/>
          <w:sz w:val="22"/>
          <w:szCs w:val="22"/>
        </w:rPr>
        <w:t xml:space="preserve"> nenastavil podmínky, ze kterých by vyplývaly dostatečné záruky eliminace negativ spojených s MNNC v nabídkách.</w:t>
      </w:r>
    </w:p>
    <w:p w14:paraId="079D2A6C" w14:textId="77777777" w:rsidR="00530F52" w:rsidRPr="009F4B52" w:rsidRDefault="00530F52" w:rsidP="00530F52">
      <w:p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712DB4" w14:textId="77777777" w:rsidR="00530F52" w:rsidRDefault="00DB541F" w:rsidP="00B276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892C81">
        <w:rPr>
          <w:rFonts w:ascii="Arial" w:hAnsi="Arial" w:cs="Arial"/>
          <w:color w:val="000000" w:themeColor="text1"/>
          <w:sz w:val="22"/>
          <w:szCs w:val="22"/>
        </w:rPr>
        <w:t>těžovatel zde popisované změny z</w:t>
      </w:r>
      <w:r>
        <w:rPr>
          <w:rFonts w:ascii="Arial" w:hAnsi="Arial" w:cs="Arial"/>
          <w:color w:val="000000" w:themeColor="text1"/>
          <w:sz w:val="22"/>
          <w:szCs w:val="22"/>
        </w:rPr>
        <w:t>adávacích podmínek navr</w:t>
      </w:r>
      <w:r w:rsidR="003C66B4">
        <w:rPr>
          <w:rFonts w:ascii="Arial" w:hAnsi="Arial" w:cs="Arial"/>
          <w:color w:val="000000" w:themeColor="text1"/>
          <w:sz w:val="22"/>
          <w:szCs w:val="22"/>
        </w:rPr>
        <w:t>hoval ji</w:t>
      </w:r>
      <w:r w:rsidR="00F437AF">
        <w:rPr>
          <w:rFonts w:ascii="Arial" w:hAnsi="Arial" w:cs="Arial"/>
          <w:color w:val="000000" w:themeColor="text1"/>
          <w:sz w:val="22"/>
          <w:szCs w:val="22"/>
        </w:rPr>
        <w:t>ž žádostí</w:t>
      </w:r>
      <w:r w:rsidR="003C66B4">
        <w:rPr>
          <w:rFonts w:ascii="Arial" w:hAnsi="Arial" w:cs="Arial"/>
          <w:color w:val="000000" w:themeColor="text1"/>
          <w:sz w:val="22"/>
          <w:szCs w:val="22"/>
        </w:rPr>
        <w:t xml:space="preserve"> o vysvětlení Z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adávací dokumentace </w:t>
      </w:r>
      <w:r w:rsidR="00CE6290">
        <w:rPr>
          <w:rFonts w:ascii="Arial" w:hAnsi="Arial" w:cs="Arial"/>
          <w:color w:val="000000" w:themeColor="text1"/>
          <w:sz w:val="22"/>
          <w:szCs w:val="22"/>
        </w:rPr>
        <w:t xml:space="preserve">ze dne </w:t>
      </w:r>
      <w:r w:rsidR="00CE6290" w:rsidRPr="009F4B52">
        <w:rPr>
          <w:rFonts w:ascii="Arial" w:hAnsi="Arial" w:cs="Arial"/>
          <w:sz w:val="22"/>
          <w:szCs w:val="22"/>
        </w:rPr>
        <w:t>[</w:t>
      </w:r>
      <w:r w:rsidR="00CE6290" w:rsidRPr="009F4B52">
        <w:rPr>
          <w:rFonts w:ascii="Arial" w:hAnsi="Arial" w:cs="Arial"/>
          <w:sz w:val="22"/>
          <w:szCs w:val="22"/>
          <w:highlight w:val="yellow"/>
        </w:rPr>
        <w:t>DOPLNIT</w:t>
      </w:r>
      <w:r w:rsidR="00CE6290" w:rsidRPr="009F4B52">
        <w:rPr>
          <w:rFonts w:ascii="Arial" w:hAnsi="Arial" w:cs="Arial"/>
          <w:sz w:val="22"/>
          <w:szCs w:val="22"/>
        </w:rPr>
        <w:t>]</w:t>
      </w:r>
      <w:r w:rsidR="00CE6290">
        <w:rPr>
          <w:rFonts w:ascii="Arial" w:hAnsi="Arial" w:cs="Arial"/>
          <w:sz w:val="22"/>
          <w:szCs w:val="22"/>
        </w:rPr>
        <w:t>. To ale zadavatel ve vysvětlení č. </w:t>
      </w:r>
      <w:r w:rsidR="00CE6290" w:rsidRPr="009F4B52">
        <w:rPr>
          <w:rFonts w:ascii="Arial" w:hAnsi="Arial" w:cs="Arial"/>
          <w:sz w:val="22"/>
          <w:szCs w:val="22"/>
        </w:rPr>
        <w:t>[</w:t>
      </w:r>
      <w:r w:rsidR="00CE6290" w:rsidRPr="009F4B52">
        <w:rPr>
          <w:rFonts w:ascii="Arial" w:hAnsi="Arial" w:cs="Arial"/>
          <w:sz w:val="22"/>
          <w:szCs w:val="22"/>
          <w:highlight w:val="yellow"/>
        </w:rPr>
        <w:t>DOPLNIT</w:t>
      </w:r>
      <w:r w:rsidR="00CE6290" w:rsidRPr="009F4B52">
        <w:rPr>
          <w:rFonts w:ascii="Arial" w:hAnsi="Arial" w:cs="Arial"/>
          <w:sz w:val="22"/>
          <w:szCs w:val="22"/>
        </w:rPr>
        <w:t>]</w:t>
      </w:r>
      <w:r w:rsidR="00CE6290">
        <w:rPr>
          <w:rFonts w:ascii="Arial" w:hAnsi="Arial" w:cs="Arial"/>
          <w:sz w:val="22"/>
          <w:szCs w:val="22"/>
        </w:rPr>
        <w:t xml:space="preserve"> ze dne </w:t>
      </w:r>
      <w:r w:rsidR="00CE6290" w:rsidRPr="009F4B52">
        <w:rPr>
          <w:rFonts w:ascii="Arial" w:hAnsi="Arial" w:cs="Arial"/>
          <w:sz w:val="22"/>
          <w:szCs w:val="22"/>
        </w:rPr>
        <w:t>[</w:t>
      </w:r>
      <w:r w:rsidR="00CE6290" w:rsidRPr="009F4B52">
        <w:rPr>
          <w:rFonts w:ascii="Arial" w:hAnsi="Arial" w:cs="Arial"/>
          <w:sz w:val="22"/>
          <w:szCs w:val="22"/>
          <w:highlight w:val="yellow"/>
        </w:rPr>
        <w:t>DOPLNIT</w:t>
      </w:r>
      <w:r w:rsidR="00CE6290" w:rsidRPr="009F4B52">
        <w:rPr>
          <w:rFonts w:ascii="Arial" w:hAnsi="Arial" w:cs="Arial"/>
          <w:sz w:val="22"/>
          <w:szCs w:val="22"/>
        </w:rPr>
        <w:t>]</w:t>
      </w:r>
      <w:r w:rsidR="00CE6290">
        <w:rPr>
          <w:rFonts w:ascii="Arial" w:hAnsi="Arial" w:cs="Arial"/>
          <w:sz w:val="22"/>
          <w:szCs w:val="22"/>
        </w:rPr>
        <w:t xml:space="preserve"> odmítl. Zadavatel se tak podle názoru stěžovatele nepřiměřeně spoléhá na prohlášení a dobrou víru vybraného dodavatele.</w:t>
      </w:r>
    </w:p>
    <w:p w14:paraId="17F31C46" w14:textId="77777777" w:rsidR="00BB35CA" w:rsidRDefault="00BB35CA" w:rsidP="00B276D9">
      <w:pPr>
        <w:jc w:val="both"/>
        <w:rPr>
          <w:rFonts w:ascii="Arial" w:hAnsi="Arial" w:cs="Arial"/>
          <w:sz w:val="22"/>
          <w:szCs w:val="22"/>
        </w:rPr>
      </w:pPr>
    </w:p>
    <w:p w14:paraId="649060A6" w14:textId="77777777" w:rsidR="00BB35CA" w:rsidRDefault="00BB35CA" w:rsidP="00BB35CA">
      <w:pPr>
        <w:jc w:val="both"/>
        <w:rPr>
          <w:rFonts w:ascii="Arial" w:hAnsi="Arial" w:cs="Arial"/>
          <w:sz w:val="22"/>
          <w:szCs w:val="22"/>
        </w:rPr>
      </w:pPr>
      <w:r w:rsidRPr="00BB35CA">
        <w:rPr>
          <w:rFonts w:ascii="Arial" w:hAnsi="Arial" w:cs="Arial"/>
          <w:sz w:val="22"/>
          <w:szCs w:val="22"/>
        </w:rPr>
        <w:t>Pokud zadavatel</w:t>
      </w:r>
      <w:r>
        <w:rPr>
          <w:rFonts w:ascii="Arial" w:hAnsi="Arial" w:cs="Arial"/>
          <w:sz w:val="22"/>
          <w:szCs w:val="22"/>
        </w:rPr>
        <w:t xml:space="preserve"> po uzavření Smlouvy dojde</w:t>
      </w:r>
      <w:r w:rsidRPr="00BB35CA">
        <w:rPr>
          <w:rFonts w:ascii="Arial" w:hAnsi="Arial" w:cs="Arial"/>
          <w:sz w:val="22"/>
          <w:szCs w:val="22"/>
        </w:rPr>
        <w:t xml:space="preserve"> k závěru, že uzavřená </w:t>
      </w:r>
      <w:r>
        <w:rPr>
          <w:rFonts w:ascii="Arial" w:hAnsi="Arial" w:cs="Arial"/>
          <w:sz w:val="22"/>
          <w:szCs w:val="22"/>
        </w:rPr>
        <w:t>Smlouva</w:t>
      </w:r>
      <w:r w:rsidRPr="00BB35CA">
        <w:rPr>
          <w:rFonts w:ascii="Arial" w:hAnsi="Arial" w:cs="Arial"/>
          <w:sz w:val="22"/>
          <w:szCs w:val="22"/>
        </w:rPr>
        <w:t xml:space="preserve"> byla dodavatelem porušena</w:t>
      </w:r>
      <w:r>
        <w:rPr>
          <w:rFonts w:ascii="Arial" w:hAnsi="Arial" w:cs="Arial"/>
          <w:sz w:val="22"/>
          <w:szCs w:val="22"/>
        </w:rPr>
        <w:t xml:space="preserve"> (byl dodán nezpůsobilý software)</w:t>
      </w:r>
      <w:r w:rsidRPr="00BB35CA">
        <w:rPr>
          <w:rFonts w:ascii="Arial" w:hAnsi="Arial" w:cs="Arial"/>
          <w:sz w:val="22"/>
          <w:szCs w:val="22"/>
        </w:rPr>
        <w:t xml:space="preserve">, bude jej pro </w:t>
      </w:r>
      <w:r>
        <w:rPr>
          <w:rFonts w:ascii="Arial" w:hAnsi="Arial" w:cs="Arial"/>
          <w:sz w:val="22"/>
          <w:szCs w:val="22"/>
        </w:rPr>
        <w:t>uplatnění případných sankcí</w:t>
      </w:r>
      <w:r w:rsidRPr="00BB35CA">
        <w:rPr>
          <w:rFonts w:ascii="Arial" w:hAnsi="Arial" w:cs="Arial"/>
          <w:sz w:val="22"/>
          <w:szCs w:val="22"/>
        </w:rPr>
        <w:t xml:space="preserve"> tížit důkazní břemeno. Dodavateli přitom bude svědčit </w:t>
      </w:r>
      <w:r>
        <w:rPr>
          <w:rFonts w:ascii="Arial" w:hAnsi="Arial" w:cs="Arial"/>
          <w:sz w:val="22"/>
          <w:szCs w:val="22"/>
        </w:rPr>
        <w:t>domněnka dle</w:t>
      </w:r>
      <w:r w:rsidRPr="00BB35CA">
        <w:rPr>
          <w:rFonts w:ascii="Arial" w:hAnsi="Arial" w:cs="Arial"/>
          <w:sz w:val="22"/>
          <w:szCs w:val="22"/>
        </w:rPr>
        <w:t xml:space="preserve"> § 7 </w:t>
      </w:r>
      <w:r>
        <w:rPr>
          <w:rFonts w:ascii="Arial" w:hAnsi="Arial" w:cs="Arial"/>
          <w:sz w:val="22"/>
          <w:szCs w:val="22"/>
        </w:rPr>
        <w:t xml:space="preserve">zákona </w:t>
      </w:r>
      <w:r>
        <w:rPr>
          <w:rFonts w:ascii="Arial" w:hAnsi="Arial" w:cs="Arial"/>
          <w:sz w:val="22"/>
          <w:szCs w:val="22"/>
        </w:rPr>
        <w:lastRenderedPageBreak/>
        <w:t>č. 89/2012 Sb., občanský zákoník, ve znění pozdějších předpisů</w:t>
      </w:r>
      <w:r w:rsidRPr="00BB35CA">
        <w:rPr>
          <w:rFonts w:ascii="Arial" w:hAnsi="Arial" w:cs="Arial"/>
          <w:sz w:val="22"/>
          <w:szCs w:val="22"/>
        </w:rPr>
        <w:t xml:space="preserve">. </w:t>
      </w:r>
      <w:r w:rsidRPr="00BB35CA">
        <w:rPr>
          <w:rFonts w:ascii="Arial" w:hAnsi="Arial" w:cs="Arial"/>
          <w:b/>
          <w:sz w:val="22"/>
          <w:szCs w:val="22"/>
        </w:rPr>
        <w:t xml:space="preserve">Zadavatel tak bude muset prokázat naplnění hypotézy ustanovení </w:t>
      </w:r>
      <w:r>
        <w:rPr>
          <w:rFonts w:ascii="Arial" w:hAnsi="Arial" w:cs="Arial"/>
          <w:b/>
          <w:sz w:val="22"/>
          <w:szCs w:val="22"/>
        </w:rPr>
        <w:t>k uplatnění sankcí</w:t>
      </w:r>
      <w:r w:rsidRPr="00BB35CA">
        <w:rPr>
          <w:rFonts w:ascii="Arial" w:hAnsi="Arial" w:cs="Arial"/>
          <w:b/>
          <w:sz w:val="22"/>
          <w:szCs w:val="22"/>
        </w:rPr>
        <w:t>, protože půjde o normy, jejichž příznivých účinků se bude dovolávat</w:t>
      </w:r>
      <w:r w:rsidRPr="00BB35CA">
        <w:rPr>
          <w:rFonts w:ascii="Arial" w:hAnsi="Arial" w:cs="Arial"/>
          <w:sz w:val="22"/>
          <w:szCs w:val="22"/>
        </w:rPr>
        <w:t>.</w:t>
      </w:r>
      <w:r w:rsidRPr="00BB35CA">
        <w:rPr>
          <w:rFonts w:ascii="Arial" w:hAnsi="Arial" w:cs="Arial"/>
          <w:sz w:val="22"/>
          <w:szCs w:val="22"/>
          <w:vertAlign w:val="superscript"/>
        </w:rPr>
        <w:footnoteReference w:id="10"/>
      </w:r>
      <w:r w:rsidRPr="00BB35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Případný soudní spor</w:t>
      </w:r>
      <w:r w:rsidRPr="00BB35CA">
        <w:rPr>
          <w:rFonts w:ascii="Arial" w:hAnsi="Arial" w:cs="Arial"/>
          <w:sz w:val="22"/>
          <w:szCs w:val="22"/>
        </w:rPr>
        <w:t xml:space="preserve"> může trvat mnoho let a na jeho konci může být žalovaný dodavatel pouhou prázdnou schránkou, ze které nebude možné vymoci žádné smluvní pokuty ani jiná plnění.</w:t>
      </w:r>
      <w:r>
        <w:rPr>
          <w:rFonts w:ascii="Arial" w:hAnsi="Arial" w:cs="Arial"/>
          <w:sz w:val="22"/>
          <w:szCs w:val="22"/>
        </w:rPr>
        <w:t xml:space="preserve"> Takové řešení tak zjevně není</w:t>
      </w:r>
      <w:r w:rsidRPr="00BB35CA">
        <w:rPr>
          <w:rFonts w:ascii="Arial" w:hAnsi="Arial" w:cs="Arial"/>
          <w:sz w:val="22"/>
          <w:szCs w:val="22"/>
        </w:rPr>
        <w:t xml:space="preserve"> dostatečn</w:t>
      </w:r>
      <w:r>
        <w:rPr>
          <w:rFonts w:ascii="Arial" w:hAnsi="Arial" w:cs="Arial"/>
          <w:sz w:val="22"/>
          <w:szCs w:val="22"/>
        </w:rPr>
        <w:t>é k</w:t>
      </w:r>
      <w:r w:rsidRPr="00BB35CA">
        <w:rPr>
          <w:rFonts w:ascii="Arial" w:hAnsi="Arial" w:cs="Arial"/>
          <w:sz w:val="22"/>
          <w:szCs w:val="22"/>
        </w:rPr>
        <w:t xml:space="preserve"> zabezpeč</w:t>
      </w:r>
      <w:r>
        <w:rPr>
          <w:rFonts w:ascii="Arial" w:hAnsi="Arial" w:cs="Arial"/>
          <w:sz w:val="22"/>
          <w:szCs w:val="22"/>
        </w:rPr>
        <w:t>ení</w:t>
      </w:r>
      <w:r w:rsidRPr="00BB35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dodání legálního a způsobilého software</w:t>
      </w:r>
      <w:r w:rsidRPr="00BB35CA">
        <w:rPr>
          <w:rFonts w:ascii="Arial" w:hAnsi="Arial" w:cs="Arial"/>
          <w:sz w:val="22"/>
          <w:szCs w:val="22"/>
        </w:rPr>
        <w:t>.</w:t>
      </w:r>
      <w:r w:rsidR="00646297">
        <w:rPr>
          <w:rFonts w:ascii="Arial" w:hAnsi="Arial" w:cs="Arial"/>
          <w:sz w:val="22"/>
          <w:szCs w:val="22"/>
        </w:rPr>
        <w:t xml:space="preserve"> </w:t>
      </w:r>
      <w:r w:rsidR="00646297" w:rsidRPr="00646297">
        <w:rPr>
          <w:rFonts w:ascii="Arial" w:hAnsi="Arial" w:cs="Arial"/>
          <w:b/>
          <w:sz w:val="22"/>
          <w:szCs w:val="22"/>
        </w:rPr>
        <w:t>Za legálnost užívaného software ale bude odpovídat především zadavatel, nikoliv dodavatel</w:t>
      </w:r>
      <w:r w:rsidR="00646297">
        <w:rPr>
          <w:rFonts w:ascii="Arial" w:hAnsi="Arial" w:cs="Arial"/>
          <w:sz w:val="22"/>
          <w:szCs w:val="22"/>
        </w:rPr>
        <w:t>.</w:t>
      </w:r>
    </w:p>
    <w:p w14:paraId="11D8BB7D" w14:textId="77777777" w:rsidR="00BB35CA" w:rsidRDefault="00BB35CA" w:rsidP="00BB35CA">
      <w:pPr>
        <w:jc w:val="both"/>
        <w:rPr>
          <w:rFonts w:ascii="Arial" w:hAnsi="Arial" w:cs="Arial"/>
          <w:sz w:val="22"/>
          <w:szCs w:val="22"/>
        </w:rPr>
      </w:pPr>
    </w:p>
    <w:p w14:paraId="429D7590" w14:textId="77777777" w:rsidR="00BB35CA" w:rsidRPr="00646297" w:rsidRDefault="00646297" w:rsidP="00BB35CA">
      <w:pPr>
        <w:jc w:val="both"/>
      </w:pPr>
      <w:r>
        <w:rPr>
          <w:rFonts w:ascii="Arial" w:hAnsi="Arial" w:cs="Arial"/>
          <w:sz w:val="22"/>
          <w:szCs w:val="22"/>
        </w:rPr>
        <w:t>Umožněním dodání software obsahující nedostatky popsané v těchto námitkách zadavatel zároveň v rozporu s § 6 ZZVZ diskriminuje dodavatele řádného software (licencí). Diskriminuje nejen dodavatele originálních licencí, ale také dodavatele řádných a plně legálních druhotných licencí. Ty, kteří investovali své úsilí a prostředky, aby měli možnost dodávat legální druhotný software. Právě jejich úsilí je současný</w:t>
      </w:r>
      <w:r w:rsidR="00F437A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zněním </w:t>
      </w:r>
      <w:r w:rsidR="00892C81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adávacích podmínek zcela zmařeno, neboť cenám software obsahujícího popsané nedostatky nemohou konkurovat. Kradené zboží je vždy prodáváno levněji, než to řádně zakoupené.</w:t>
      </w:r>
    </w:p>
    <w:p w14:paraId="2DB3F645" w14:textId="77777777" w:rsidR="00BB35CA" w:rsidRDefault="00BB35CA" w:rsidP="00B276D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FB908D" w14:textId="77777777" w:rsidR="00646297" w:rsidRDefault="00646297" w:rsidP="0064629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Z výše popsaného je zřejmá i újma hrozící stěžovateli v důsledku nedostatečného nastavení </w:t>
      </w:r>
      <w:r w:rsidR="00892C81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adávacích podmínek. Stěžovatel jako dodavatel, který má zájem dodávat legální licence, by při výběru nejvýhodnější nabídky byl značně znevýhodněn</w:t>
      </w:r>
      <w:r w:rsidR="00E1507A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1507A">
        <w:rPr>
          <w:rFonts w:ascii="Arial" w:hAnsi="Arial" w:cs="Arial"/>
          <w:bCs/>
          <w:color w:val="000000" w:themeColor="text1"/>
          <w:sz w:val="22"/>
          <w:szCs w:val="22"/>
        </w:rPr>
        <w:t xml:space="preserve">To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proti uchazečům, kteří mají právě díky </w:t>
      </w:r>
      <w:r w:rsidR="00E1507A">
        <w:rPr>
          <w:rFonts w:ascii="Arial" w:hAnsi="Arial" w:cs="Arial"/>
          <w:bCs/>
          <w:color w:val="000000" w:themeColor="text1"/>
          <w:sz w:val="22"/>
          <w:szCs w:val="22"/>
        </w:rPr>
        <w:t>nabízení rizikového software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nesrovnatelně nižší vstupní náklady. Nabídková cena je totiž zásadním hodnotícím kritériem. Stěžovateli tím je v konečném důsledku znemožněno podat nabídku, a případně dosáhnout zisku z</w:t>
      </w:r>
      <w:r w:rsidR="00E1507A">
        <w:rPr>
          <w:rFonts w:ascii="Arial" w:hAnsi="Arial" w:cs="Arial"/>
          <w:bCs/>
          <w:color w:val="000000" w:themeColor="text1"/>
          <w:sz w:val="22"/>
          <w:szCs w:val="22"/>
        </w:rPr>
        <w:t> plnění Veřejné zakázky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. S ohledem na formulaci </w:t>
      </w:r>
      <w:r w:rsidR="00892C81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adávacích podmínek</w:t>
      </w:r>
      <w:r w:rsidR="00892C81">
        <w:rPr>
          <w:rFonts w:ascii="Arial" w:hAnsi="Arial" w:cs="Arial"/>
          <w:bCs/>
          <w:color w:val="000000" w:themeColor="text1"/>
          <w:sz w:val="22"/>
          <w:szCs w:val="22"/>
        </w:rPr>
        <w:t xml:space="preserve"> Veřejné zakázky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by i pouhé podání nabídky bylo jen</w:t>
      </w:r>
      <w:r w:rsidR="00E1507A">
        <w:rPr>
          <w:rFonts w:ascii="Arial" w:hAnsi="Arial" w:cs="Arial"/>
          <w:bCs/>
          <w:color w:val="000000" w:themeColor="text1"/>
          <w:sz w:val="22"/>
          <w:szCs w:val="22"/>
        </w:rPr>
        <w:t xml:space="preserve"> zbytečným nákladem.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1507A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těžovatel by do nabídkové ceny jako řádný hospodář musel promítnout náklady na </w:t>
      </w:r>
      <w:r w:rsidR="00E1507A">
        <w:rPr>
          <w:rFonts w:ascii="Arial" w:hAnsi="Arial" w:cs="Arial"/>
          <w:bCs/>
          <w:color w:val="000000" w:themeColor="text1"/>
          <w:sz w:val="22"/>
          <w:szCs w:val="22"/>
        </w:rPr>
        <w:t xml:space="preserve">zajištění </w:t>
      </w:r>
      <w:r w:rsidR="00F437AF">
        <w:rPr>
          <w:rFonts w:ascii="Arial" w:hAnsi="Arial" w:cs="Arial"/>
          <w:bCs/>
          <w:color w:val="000000" w:themeColor="text1"/>
          <w:sz w:val="22"/>
          <w:szCs w:val="22"/>
        </w:rPr>
        <w:t>legality</w:t>
      </w:r>
      <w:r w:rsidR="00E1507A">
        <w:rPr>
          <w:rFonts w:ascii="Arial" w:hAnsi="Arial" w:cs="Arial"/>
          <w:bCs/>
          <w:color w:val="000000" w:themeColor="text1"/>
          <w:sz w:val="22"/>
          <w:szCs w:val="22"/>
        </w:rPr>
        <w:t xml:space="preserve"> a způsobilosti licencí k software.</w:t>
      </w:r>
    </w:p>
    <w:p w14:paraId="2CE5691C" w14:textId="77777777" w:rsidR="00B276D9" w:rsidRDefault="00B276D9" w:rsidP="00B276D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FE229F" w14:textId="77777777" w:rsidR="00E1507A" w:rsidRPr="004F1FE3" w:rsidRDefault="00E1507A" w:rsidP="00E1507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F1FE3">
        <w:rPr>
          <w:rFonts w:ascii="Arial" w:hAnsi="Arial" w:cs="Arial"/>
          <w:b/>
          <w:color w:val="000000" w:themeColor="text1"/>
          <w:sz w:val="22"/>
          <w:szCs w:val="22"/>
        </w:rPr>
        <w:t>S ohledem na výše uvedené stěžovatel namítá závažná porušení ZZVZ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4F1FE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Těch</w:t>
      </w:r>
      <w:r w:rsidRPr="004F1FE3">
        <w:rPr>
          <w:rFonts w:ascii="Arial" w:hAnsi="Arial" w:cs="Arial"/>
          <w:b/>
          <w:color w:val="000000" w:themeColor="text1"/>
          <w:sz w:val="22"/>
          <w:szCs w:val="22"/>
        </w:rPr>
        <w:t xml:space="preserve"> se zadavatel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dopustil při stanov</w:t>
      </w:r>
      <w:r w:rsidR="00F437AF">
        <w:rPr>
          <w:rFonts w:ascii="Arial" w:hAnsi="Arial" w:cs="Arial"/>
          <w:b/>
          <w:color w:val="000000" w:themeColor="text1"/>
          <w:sz w:val="22"/>
          <w:szCs w:val="22"/>
        </w:rPr>
        <w:t>ení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92C81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adávacích podmín</w:t>
      </w:r>
      <w:r w:rsidR="00F437AF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>
        <w:rPr>
          <w:rFonts w:ascii="Arial" w:hAnsi="Arial" w:cs="Arial"/>
          <w:b/>
          <w:color w:val="000000" w:themeColor="text1"/>
          <w:sz w:val="22"/>
          <w:szCs w:val="22"/>
        </w:rPr>
        <w:t>k</w:t>
      </w:r>
      <w:r w:rsidRPr="004F1FE3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Zadávací podmínky formuloval zcela v rozporu se situací na trhu a s ní spojenými riziky, čímž diskriminoval některé dodavatele a omezil hospodářskou soutěž.</w:t>
      </w:r>
    </w:p>
    <w:p w14:paraId="6B832A97" w14:textId="77777777" w:rsidR="00E1507A" w:rsidRPr="004F1FE3" w:rsidRDefault="00E1507A" w:rsidP="00E1507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05D460" w14:textId="77777777" w:rsidR="00E1507A" w:rsidRDefault="00E1507A" w:rsidP="00E1507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Zadávací podmínky představují</w:t>
      </w:r>
      <w:r w:rsidRPr="004F1FE3">
        <w:rPr>
          <w:rFonts w:ascii="Arial" w:hAnsi="Arial" w:cs="Arial"/>
          <w:b/>
          <w:color w:val="000000" w:themeColor="text1"/>
          <w:sz w:val="22"/>
          <w:szCs w:val="22"/>
        </w:rPr>
        <w:t xml:space="preserve"> závažné porušení ZZVZ a zákla</w:t>
      </w:r>
      <w:r>
        <w:rPr>
          <w:rFonts w:ascii="Arial" w:hAnsi="Arial" w:cs="Arial"/>
          <w:b/>
          <w:color w:val="000000" w:themeColor="text1"/>
          <w:sz w:val="22"/>
          <w:szCs w:val="22"/>
        </w:rPr>
        <w:t>dních zásad veřejného zadávání. T</w:t>
      </w:r>
      <w:r w:rsidRPr="004F1FE3">
        <w:rPr>
          <w:rFonts w:ascii="Arial" w:hAnsi="Arial" w:cs="Arial"/>
          <w:b/>
          <w:color w:val="000000" w:themeColor="text1"/>
          <w:sz w:val="22"/>
          <w:szCs w:val="22"/>
        </w:rPr>
        <w:t>ato pochybení mají za přímý důsledek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vznik újmy stěžovateli</w:t>
      </w:r>
      <w:r w:rsidRPr="004F1FE3">
        <w:rPr>
          <w:rFonts w:ascii="Arial" w:hAnsi="Arial" w:cs="Arial"/>
          <w:b/>
          <w:color w:val="000000" w:themeColor="text1"/>
          <w:sz w:val="22"/>
          <w:szCs w:val="22"/>
        </w:rPr>
        <w:t xml:space="preserve">, neboť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se Veřejné zakázky fakticky nemůže účastnit. Stěžovatel by se naopak Veřejné zakázky </w:t>
      </w:r>
      <w:r w:rsidR="00892C81">
        <w:rPr>
          <w:rFonts w:ascii="Arial" w:hAnsi="Arial" w:cs="Arial"/>
          <w:b/>
          <w:color w:val="000000" w:themeColor="text1"/>
          <w:sz w:val="22"/>
          <w:szCs w:val="22"/>
        </w:rPr>
        <w:t>účastnit mohl, kdyby zadavatel z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adávací podmínky nastavil v souladu s ZZVZ.</w:t>
      </w:r>
    </w:p>
    <w:p w14:paraId="54B1218B" w14:textId="77777777" w:rsidR="00E1507A" w:rsidRDefault="00E1507A" w:rsidP="00E1507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60B3F4" w14:textId="77777777" w:rsidR="00E1507A" w:rsidRDefault="00E1507A" w:rsidP="00E1507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Stěžovatel se domnívá, že pro závažnost popsaných pochybení zadavatele a aktuální fázi zadávacího řízen není možné nápravu provést úpravou </w:t>
      </w:r>
      <w:r w:rsidR="00892C81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adávacích podmínek Veřejné zakázky. Nápravu by zadavatel měl provést zrušením Veřejné zakázky a jejím novým vyhlášením s upravenými podmínkami tak, aby předešel nabízení rizikových druhotných licencí.</w:t>
      </w:r>
    </w:p>
    <w:p w14:paraId="5AE4650A" w14:textId="77777777" w:rsidR="00E1507A" w:rsidRPr="004F1FE3" w:rsidRDefault="00E1507A" w:rsidP="00E1507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0522D4" w14:textId="77777777" w:rsidR="00E1507A" w:rsidRPr="004F1FE3" w:rsidRDefault="00E1507A" w:rsidP="00E1507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1FE3">
        <w:rPr>
          <w:rFonts w:ascii="Arial" w:hAnsi="Arial" w:cs="Arial"/>
          <w:color w:val="000000" w:themeColor="text1"/>
          <w:sz w:val="22"/>
          <w:szCs w:val="22"/>
        </w:rPr>
        <w:t>S ohledem na uvedené má stěžovatel současně za to, že nebyla dodržena pravidla stanovená ZZVZ a zadavatel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 dále</w:t>
      </w:r>
      <w:r w:rsidRPr="004F1FE3">
        <w:rPr>
          <w:rFonts w:ascii="Arial" w:hAnsi="Arial" w:cs="Arial"/>
          <w:color w:val="000000" w:themeColor="text1"/>
          <w:sz w:val="22"/>
          <w:szCs w:val="22"/>
        </w:rPr>
        <w:t xml:space="preserve"> dop</w:t>
      </w:r>
      <w:r>
        <w:rPr>
          <w:rFonts w:ascii="Arial" w:hAnsi="Arial" w:cs="Arial"/>
          <w:color w:val="000000" w:themeColor="text1"/>
          <w:sz w:val="22"/>
          <w:szCs w:val="22"/>
        </w:rPr>
        <w:t>o</w:t>
      </w:r>
      <w:r w:rsidRPr="004F1FE3">
        <w:rPr>
          <w:rFonts w:ascii="Arial" w:hAnsi="Arial" w:cs="Arial"/>
          <w:color w:val="000000" w:themeColor="text1"/>
          <w:sz w:val="22"/>
          <w:szCs w:val="22"/>
        </w:rPr>
        <w:t>u</w:t>
      </w:r>
      <w:r>
        <w:rPr>
          <w:rFonts w:ascii="Arial" w:hAnsi="Arial" w:cs="Arial"/>
          <w:color w:val="000000" w:themeColor="text1"/>
          <w:sz w:val="22"/>
          <w:szCs w:val="22"/>
        </w:rPr>
        <w:t>ští</w:t>
      </w:r>
      <w:r w:rsidRPr="004F1F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přestupku podle § 268 odst. 1 písm. b</w:t>
      </w:r>
      <w:r w:rsidRPr="004F1FE3">
        <w:rPr>
          <w:rFonts w:ascii="Arial" w:hAnsi="Arial" w:cs="Arial"/>
          <w:color w:val="000000" w:themeColor="text1"/>
          <w:sz w:val="22"/>
          <w:szCs w:val="22"/>
        </w:rPr>
        <w:t>) ZZVZ.</w:t>
      </w:r>
    </w:p>
    <w:p w14:paraId="6B15CB98" w14:textId="77777777" w:rsidR="00B276D9" w:rsidRPr="009F4B52" w:rsidRDefault="00B276D9" w:rsidP="00B276D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308958" w14:textId="77777777" w:rsidR="00B276D9" w:rsidRPr="009F4B52" w:rsidRDefault="00B276D9" w:rsidP="00B276D9">
      <w:pPr>
        <w:widowControl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F4B52">
        <w:rPr>
          <w:rFonts w:ascii="Arial" w:hAnsi="Arial" w:cs="Arial"/>
          <w:b/>
          <w:color w:val="000000" w:themeColor="text1"/>
          <w:sz w:val="22"/>
          <w:szCs w:val="22"/>
        </w:rPr>
        <w:t>III.</w:t>
      </w:r>
    </w:p>
    <w:p w14:paraId="6711CA03" w14:textId="77777777" w:rsidR="00B276D9" w:rsidRPr="009F4B52" w:rsidRDefault="00B276D9" w:rsidP="00B276D9">
      <w:pPr>
        <w:widowControl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07FB526" w14:textId="77777777" w:rsidR="00377B62" w:rsidRPr="009F4B52" w:rsidRDefault="00377B62" w:rsidP="00377B62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4B52">
        <w:rPr>
          <w:rFonts w:ascii="Arial" w:hAnsi="Arial" w:cs="Arial"/>
          <w:color w:val="000000" w:themeColor="text1"/>
          <w:sz w:val="22"/>
          <w:szCs w:val="22"/>
        </w:rPr>
        <w:t xml:space="preserve">S ohledem na všechny výše uvedené skutečnosti se stěžovatel domáhá toho, aby zadavatel v souladu s ustanovením § 245 ZZVZ </w:t>
      </w:r>
      <w:r w:rsidRPr="009F4B52">
        <w:rPr>
          <w:rFonts w:ascii="Arial" w:hAnsi="Arial" w:cs="Arial"/>
          <w:b/>
          <w:color w:val="000000" w:themeColor="text1"/>
          <w:sz w:val="22"/>
          <w:szCs w:val="22"/>
        </w:rPr>
        <w:t>vyhověl těmto námitkám a na jejich základě provedl nápravu tak, že Veřejnou zakázku zruší a vyhlásí nové zadávací řízení s upravenými podmínkami.</w:t>
      </w:r>
    </w:p>
    <w:p w14:paraId="2E554766" w14:textId="77777777" w:rsidR="00B276D9" w:rsidRPr="009F4B52" w:rsidRDefault="00B276D9" w:rsidP="00B276D9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8A0F0AB" w14:textId="77777777" w:rsidR="00B276D9" w:rsidRPr="009F4B52" w:rsidRDefault="00B276D9" w:rsidP="00B276D9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3D9713" w14:textId="77777777" w:rsidR="00377B62" w:rsidRPr="009F4B52" w:rsidRDefault="00377B62" w:rsidP="00377B62">
      <w:pPr>
        <w:jc w:val="both"/>
        <w:rPr>
          <w:rFonts w:ascii="Arial" w:hAnsi="Arial" w:cs="Arial"/>
          <w:b/>
          <w:sz w:val="22"/>
          <w:szCs w:val="22"/>
        </w:rPr>
      </w:pPr>
      <w:r w:rsidRPr="009F4B52">
        <w:rPr>
          <w:rFonts w:ascii="Arial" w:hAnsi="Arial" w:cs="Arial"/>
          <w:sz w:val="22"/>
          <w:szCs w:val="22"/>
        </w:rPr>
        <w:lastRenderedPageBreak/>
        <w:t>za</w:t>
      </w:r>
      <w:r w:rsidRPr="009F4B52">
        <w:rPr>
          <w:rFonts w:ascii="Arial" w:hAnsi="Arial" w:cs="Arial"/>
          <w:b/>
          <w:sz w:val="22"/>
          <w:szCs w:val="22"/>
        </w:rPr>
        <w:t xml:space="preserve"> </w:t>
      </w:r>
      <w:r w:rsidRPr="009F4B52">
        <w:rPr>
          <w:rFonts w:ascii="Arial" w:hAnsi="Arial" w:cs="Arial"/>
          <w:b/>
          <w:sz w:val="22"/>
          <w:szCs w:val="22"/>
          <w:highlight w:val="yellow"/>
        </w:rPr>
        <w:t>[DOPLNIT DANOU PRÁVNICKOU OSOBU]</w:t>
      </w:r>
    </w:p>
    <w:p w14:paraId="62D9B4A1" w14:textId="77777777" w:rsidR="00B276D9" w:rsidRPr="009F4B52" w:rsidRDefault="00377B62" w:rsidP="00377B62">
      <w:pPr>
        <w:rPr>
          <w:sz w:val="22"/>
          <w:szCs w:val="22"/>
        </w:rPr>
      </w:pPr>
      <w:r w:rsidRPr="009F4B52">
        <w:rPr>
          <w:rFonts w:ascii="Arial" w:hAnsi="Arial" w:cs="Arial"/>
          <w:sz w:val="22"/>
          <w:szCs w:val="22"/>
          <w:highlight w:val="yellow"/>
        </w:rPr>
        <w:t>[DOPLNIT OSOBU JEDNAJÍCÍ ZA PRÁVNICKOU OSOBU]</w:t>
      </w:r>
    </w:p>
    <w:p w14:paraId="54F360B9" w14:textId="77777777" w:rsidR="00B570C5" w:rsidRPr="009F4B52" w:rsidRDefault="00B570C5">
      <w:pPr>
        <w:rPr>
          <w:sz w:val="22"/>
          <w:szCs w:val="22"/>
        </w:rPr>
      </w:pPr>
    </w:p>
    <w:sectPr w:rsidR="00B570C5" w:rsidRPr="009F4B52" w:rsidSect="00B276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or" w:initials="A">
    <w:p w14:paraId="3965B9BB" w14:textId="77777777" w:rsidR="00B276D9" w:rsidRPr="001E2C08" w:rsidRDefault="00B276D9" w:rsidP="00B276D9">
      <w:pPr>
        <w:pStyle w:val="Textkomente"/>
        <w:rPr>
          <w:rFonts w:ascii="Arial" w:hAnsi="Arial" w:cs="Arial"/>
        </w:rPr>
      </w:pPr>
      <w:r w:rsidRPr="001E2C08">
        <w:rPr>
          <w:rStyle w:val="Odkaznakoment"/>
          <w:rFonts w:ascii="Arial" w:hAnsi="Arial" w:cs="Arial"/>
        </w:rPr>
        <w:annotationRef/>
      </w:r>
      <w:r w:rsidRPr="001E2C08">
        <w:rPr>
          <w:rFonts w:ascii="Arial" w:hAnsi="Arial" w:cs="Arial"/>
        </w:rPr>
        <w:t>Vybrat jednu z možností, případně obě</w:t>
      </w:r>
      <w:r>
        <w:rPr>
          <w:rFonts w:ascii="Arial" w:hAnsi="Arial" w:cs="Arial"/>
        </w:rPr>
        <w:t>.</w:t>
      </w:r>
    </w:p>
  </w:comment>
  <w:comment w:id="4" w:author="Autor" w:initials="A">
    <w:p w14:paraId="0E930917" w14:textId="77777777" w:rsidR="00530F52" w:rsidRPr="00530F52" w:rsidRDefault="00530F52">
      <w:pPr>
        <w:pStyle w:val="Textkomente"/>
        <w:rPr>
          <w:rFonts w:ascii="Arial" w:hAnsi="Arial" w:cs="Arial"/>
        </w:rPr>
      </w:pPr>
      <w:r>
        <w:rPr>
          <w:rStyle w:val="Odkaznakoment"/>
        </w:rPr>
        <w:annotationRef/>
      </w:r>
      <w:r w:rsidRPr="00530F52">
        <w:rPr>
          <w:rFonts w:ascii="Arial" w:hAnsi="Arial" w:cs="Arial"/>
        </w:rPr>
        <w:t xml:space="preserve">Toto ustanovení je aktuální pouze v případě, že zadavatel odmítl vaší předchozí žádost o úpravu zadávacích podmínek. </w:t>
      </w:r>
      <w:r w:rsidRPr="00530F52">
        <w:rPr>
          <w:rFonts w:ascii="Arial" w:hAnsi="Arial" w:cs="Arial"/>
          <w:b/>
        </w:rPr>
        <w:t>V ostatních případech je vymažte.</w:t>
      </w:r>
      <w:r w:rsidRPr="00530F52">
        <w:rPr>
          <w:rFonts w:ascii="Arial" w:hAnsi="Arial" w:cs="Arial"/>
        </w:rPr>
        <w:t xml:space="preserve"> </w:t>
      </w:r>
    </w:p>
  </w:comment>
  <w:comment w:id="5" w:author="Autor" w:initials="A">
    <w:p w14:paraId="39D06CC8" w14:textId="77777777" w:rsidR="00EC3714" w:rsidRPr="00EC3714" w:rsidRDefault="00EC3714">
      <w:pPr>
        <w:pStyle w:val="Textkomente"/>
        <w:rPr>
          <w:rFonts w:ascii="Arial" w:hAnsi="Arial" w:cs="Arial"/>
        </w:rPr>
      </w:pPr>
      <w:r w:rsidRPr="00EC3714">
        <w:rPr>
          <w:rStyle w:val="Odkaznakoment"/>
          <w:rFonts w:ascii="Arial" w:hAnsi="Arial" w:cs="Arial"/>
          <w:sz w:val="20"/>
          <w:szCs w:val="20"/>
        </w:rPr>
        <w:annotationRef/>
      </w:r>
      <w:r w:rsidRPr="00EC3714">
        <w:rPr>
          <w:rFonts w:ascii="Arial" w:hAnsi="Arial" w:cs="Arial"/>
        </w:rPr>
        <w:t>Tuto formulaci bude třeba upravit podle konkrétních podmínek.</w:t>
      </w:r>
    </w:p>
  </w:comment>
  <w:comment w:id="6" w:author="Autor" w:initials="A">
    <w:p w14:paraId="2A697045" w14:textId="77777777" w:rsidR="00952ACE" w:rsidRPr="00952ACE" w:rsidRDefault="00952ACE">
      <w:pPr>
        <w:pStyle w:val="Textkomente"/>
        <w:rPr>
          <w:rFonts w:ascii="Arial" w:hAnsi="Arial" w:cs="Arial"/>
        </w:rPr>
      </w:pPr>
      <w:r w:rsidRPr="00952ACE">
        <w:rPr>
          <w:rStyle w:val="Odkaznakoment"/>
          <w:rFonts w:ascii="Arial" w:hAnsi="Arial" w:cs="Arial"/>
          <w:sz w:val="20"/>
          <w:szCs w:val="20"/>
        </w:rPr>
        <w:annotationRef/>
      </w:r>
      <w:r w:rsidRPr="00952ACE">
        <w:rPr>
          <w:rFonts w:ascii="Arial" w:hAnsi="Arial" w:cs="Arial"/>
        </w:rPr>
        <w:t>Tato část je doplňující, pokud se ve veřejné zakázce rozhodnete sporovat i smlouvu. Formulace smlouvy je ale výlučným oprávněním zadavatele.</w:t>
      </w:r>
    </w:p>
  </w:comment>
  <w:comment w:id="7" w:author="Autor" w:initials="A">
    <w:p w14:paraId="2A04DF09" w14:textId="77777777" w:rsidR="00E46431" w:rsidRDefault="00E46431">
      <w:pPr>
        <w:pStyle w:val="Textkomente"/>
      </w:pPr>
      <w:r>
        <w:rPr>
          <w:rStyle w:val="Odkaznakoment"/>
        </w:rPr>
        <w:annotationRef/>
      </w:r>
      <w:r w:rsidRPr="00952ACE">
        <w:rPr>
          <w:rFonts w:ascii="Arial" w:hAnsi="Arial" w:cs="Arial"/>
        </w:rPr>
        <w:t xml:space="preserve">Tato část je doplňující, </w:t>
      </w:r>
      <w:r>
        <w:rPr>
          <w:rFonts w:ascii="Arial" w:hAnsi="Arial" w:cs="Arial"/>
        </w:rPr>
        <w:t>navazuje na 1. a 2. část. Zadavatel ale nemá povinnost hodnotu MNNC stanovit.</w:t>
      </w:r>
      <w:r>
        <w:rPr>
          <w:rFonts w:ascii="Arial" w:hAnsi="Arial" w:cs="Arial"/>
        </w:rPr>
        <w:br/>
      </w:r>
      <w:r w:rsidRPr="00E46431">
        <w:rPr>
          <w:rFonts w:ascii="Arial" w:hAnsi="Arial" w:cs="Arial"/>
          <w:b/>
        </w:rPr>
        <w:t>V případech, kdy hodnotu MNNC stanovil, tuto část vymažte.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65B9BB" w15:done="0"/>
  <w15:commentEx w15:paraId="0E930917" w15:done="0"/>
  <w15:commentEx w15:paraId="39D06CC8" w15:done="0"/>
  <w15:commentEx w15:paraId="0BE9FBB1" w15:done="0"/>
  <w15:commentEx w15:paraId="2A697045" w15:done="0"/>
  <w15:commentEx w15:paraId="2A04DF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65B9BB" w16cid:durableId="279F499F"/>
  <w16cid:commentId w16cid:paraId="0E930917" w16cid:durableId="279F49A0"/>
  <w16cid:commentId w16cid:paraId="39D06CC8" w16cid:durableId="279F49A1"/>
  <w16cid:commentId w16cid:paraId="0BE9FBB1" w16cid:durableId="279F49A2"/>
  <w16cid:commentId w16cid:paraId="2A697045" w16cid:durableId="279F49A3"/>
  <w16cid:commentId w16cid:paraId="2A04DF09" w16cid:durableId="279F49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002F9" w14:textId="77777777" w:rsidR="002E6B5C" w:rsidRDefault="002E6B5C" w:rsidP="00B276D9">
      <w:r>
        <w:separator/>
      </w:r>
    </w:p>
  </w:endnote>
  <w:endnote w:type="continuationSeparator" w:id="0">
    <w:p w14:paraId="75F31FED" w14:textId="77777777" w:rsidR="002E6B5C" w:rsidRDefault="002E6B5C" w:rsidP="00B2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4545C" w14:textId="77777777" w:rsidR="00504CD3" w:rsidRDefault="00504C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395248618"/>
      <w:docPartObj>
        <w:docPartGallery w:val="Page Numbers (Bottom of Page)"/>
        <w:docPartUnique/>
      </w:docPartObj>
    </w:sdtPr>
    <w:sdtEndPr/>
    <w:sdtContent>
      <w:p w14:paraId="42F0D0FE" w14:textId="77777777" w:rsidR="00B276D9" w:rsidRPr="00B276D9" w:rsidRDefault="00B276D9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 w:rsidRPr="00B276D9">
          <w:rPr>
            <w:rFonts w:ascii="Arial" w:hAnsi="Arial" w:cs="Arial"/>
            <w:sz w:val="22"/>
            <w:szCs w:val="22"/>
          </w:rPr>
          <w:fldChar w:fldCharType="begin"/>
        </w:r>
        <w:r w:rsidRPr="00B276D9">
          <w:rPr>
            <w:rFonts w:ascii="Arial" w:hAnsi="Arial" w:cs="Arial"/>
            <w:sz w:val="22"/>
            <w:szCs w:val="22"/>
          </w:rPr>
          <w:instrText>PAGE   \* MERGEFORMAT</w:instrText>
        </w:r>
        <w:r w:rsidRPr="00B276D9">
          <w:rPr>
            <w:rFonts w:ascii="Arial" w:hAnsi="Arial" w:cs="Arial"/>
            <w:sz w:val="22"/>
            <w:szCs w:val="22"/>
          </w:rPr>
          <w:fldChar w:fldCharType="separate"/>
        </w:r>
        <w:r w:rsidR="00504CD3">
          <w:rPr>
            <w:rFonts w:ascii="Arial" w:hAnsi="Arial" w:cs="Arial"/>
            <w:noProof/>
            <w:sz w:val="22"/>
            <w:szCs w:val="22"/>
          </w:rPr>
          <w:t>2</w:t>
        </w:r>
        <w:r w:rsidRPr="00B276D9">
          <w:rPr>
            <w:rFonts w:ascii="Arial" w:hAnsi="Arial" w:cs="Arial"/>
            <w:sz w:val="22"/>
            <w:szCs w:val="22"/>
          </w:rPr>
          <w:fldChar w:fldCharType="end"/>
        </w:r>
        <w:r w:rsidRPr="00B276D9">
          <w:rPr>
            <w:rFonts w:ascii="Arial" w:hAnsi="Arial" w:cs="Arial"/>
            <w:sz w:val="22"/>
            <w:szCs w:val="22"/>
          </w:rPr>
          <w:t>/</w:t>
        </w:r>
        <w:r w:rsidRPr="00B276D9">
          <w:rPr>
            <w:rFonts w:ascii="Arial" w:hAnsi="Arial" w:cs="Arial"/>
            <w:sz w:val="22"/>
            <w:szCs w:val="22"/>
          </w:rPr>
          <w:fldChar w:fldCharType="begin"/>
        </w:r>
        <w:r w:rsidRPr="00B276D9">
          <w:rPr>
            <w:rFonts w:ascii="Arial" w:hAnsi="Arial" w:cs="Arial"/>
            <w:sz w:val="22"/>
            <w:szCs w:val="22"/>
          </w:rPr>
          <w:instrText xml:space="preserve"> NUMPAGES  \* Arabic  \* MERGEFORMAT </w:instrText>
        </w:r>
        <w:r w:rsidRPr="00B276D9">
          <w:rPr>
            <w:rFonts w:ascii="Arial" w:hAnsi="Arial" w:cs="Arial"/>
            <w:sz w:val="22"/>
            <w:szCs w:val="22"/>
          </w:rPr>
          <w:fldChar w:fldCharType="separate"/>
        </w:r>
        <w:r w:rsidR="00504CD3">
          <w:rPr>
            <w:rFonts w:ascii="Arial" w:hAnsi="Arial" w:cs="Arial"/>
            <w:noProof/>
            <w:sz w:val="22"/>
            <w:szCs w:val="22"/>
          </w:rPr>
          <w:t>3</w:t>
        </w:r>
        <w:r w:rsidRPr="00B276D9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101FA" w14:textId="77777777" w:rsidR="00504CD3" w:rsidRDefault="00504C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E94DE" w14:textId="77777777" w:rsidR="002E6B5C" w:rsidRDefault="002E6B5C" w:rsidP="00B276D9">
      <w:r>
        <w:separator/>
      </w:r>
    </w:p>
  </w:footnote>
  <w:footnote w:type="continuationSeparator" w:id="0">
    <w:p w14:paraId="01BBA42C" w14:textId="77777777" w:rsidR="002E6B5C" w:rsidRDefault="002E6B5C" w:rsidP="00B276D9">
      <w:r>
        <w:continuationSeparator/>
      </w:r>
    </w:p>
  </w:footnote>
  <w:footnote w:id="1">
    <w:p w14:paraId="41AC531B" w14:textId="77777777" w:rsidR="005E2CDE" w:rsidRPr="00A71363" w:rsidRDefault="005E2CDE" w:rsidP="005E2CDE">
      <w:pPr>
        <w:pStyle w:val="Textpoznpodarou"/>
        <w:spacing w:after="60"/>
        <w:ind w:left="284" w:hanging="284"/>
        <w:jc w:val="both"/>
        <w:rPr>
          <w:rFonts w:ascii="Arial" w:hAnsi="Arial" w:cs="Arial"/>
        </w:rPr>
      </w:pPr>
      <w:r w:rsidRPr="00A71363">
        <w:rPr>
          <w:rStyle w:val="Znakapoznpodarou"/>
          <w:rFonts w:ascii="Arial" w:hAnsi="Arial" w:cs="Arial"/>
        </w:rPr>
        <w:footnoteRef/>
      </w:r>
      <w:r w:rsidRPr="00A71363">
        <w:rPr>
          <w:rFonts w:ascii="Arial" w:hAnsi="Arial" w:cs="Arial"/>
        </w:rPr>
        <w:t xml:space="preserve"> </w:t>
      </w:r>
      <w:r w:rsidRPr="00A71363">
        <w:rPr>
          <w:rFonts w:ascii="Arial" w:hAnsi="Arial" w:cs="Arial"/>
        </w:rPr>
        <w:tab/>
        <w:t xml:space="preserve">Rozsudek Soudního dvora Evropské unie ze dne 3. 7. 2012, </w:t>
      </w:r>
      <w:proofErr w:type="spellStart"/>
      <w:r w:rsidRPr="00A71363">
        <w:rPr>
          <w:rFonts w:ascii="Arial" w:hAnsi="Arial" w:cs="Arial"/>
        </w:rPr>
        <w:t>sp</w:t>
      </w:r>
      <w:proofErr w:type="spellEnd"/>
      <w:r w:rsidRPr="00A71363">
        <w:rPr>
          <w:rFonts w:ascii="Arial" w:hAnsi="Arial" w:cs="Arial"/>
        </w:rPr>
        <w:t>. zn. </w:t>
      </w:r>
      <w:r w:rsidR="00C452FE" w:rsidRPr="00A71363">
        <w:rPr>
          <w:rFonts w:ascii="Arial" w:hAnsi="Arial" w:cs="Arial"/>
        </w:rPr>
        <w:t>C-</w:t>
      </w:r>
      <w:r w:rsidRPr="00A71363">
        <w:rPr>
          <w:rFonts w:ascii="Arial" w:hAnsi="Arial" w:cs="Arial"/>
        </w:rPr>
        <w:t>128/11.</w:t>
      </w:r>
    </w:p>
  </w:footnote>
  <w:footnote w:id="2">
    <w:p w14:paraId="4ACC72C4" w14:textId="71D45284" w:rsidR="004E1C87" w:rsidRPr="00A97755" w:rsidRDefault="004E1C87" w:rsidP="00A97755">
      <w:pPr>
        <w:pStyle w:val="Textpoznpodarou"/>
        <w:spacing w:after="60"/>
        <w:ind w:left="284" w:hanging="284"/>
        <w:jc w:val="both"/>
        <w:rPr>
          <w:rFonts w:ascii="Arial" w:hAnsi="Arial" w:cs="Arial"/>
        </w:rPr>
      </w:pPr>
      <w:r w:rsidRPr="00A97755">
        <w:rPr>
          <w:rStyle w:val="Znakapoznpodarou"/>
          <w:rFonts w:ascii="Arial" w:hAnsi="Arial" w:cs="Arial"/>
        </w:rPr>
        <w:footnoteRef/>
      </w:r>
      <w:r w:rsidRPr="00A97755">
        <w:rPr>
          <w:rFonts w:ascii="Arial" w:hAnsi="Arial" w:cs="Arial"/>
        </w:rPr>
        <w:t xml:space="preserve"> </w:t>
      </w:r>
      <w:r w:rsidRPr="00A97755">
        <w:rPr>
          <w:rFonts w:ascii="Arial" w:hAnsi="Arial" w:cs="Arial"/>
        </w:rPr>
        <w:tab/>
        <w:t>Pro získání legální licence k již používanému operačnímu systému s nesprávnou licencí – GGS proto slouží pouze k jednorázové</w:t>
      </w:r>
      <w:r>
        <w:rPr>
          <w:rFonts w:ascii="Arial" w:hAnsi="Arial" w:cs="Arial"/>
        </w:rPr>
        <w:t>mu</w:t>
      </w:r>
      <w:r w:rsidRPr="00A97755">
        <w:rPr>
          <w:rFonts w:ascii="Arial" w:hAnsi="Arial" w:cs="Arial"/>
        </w:rPr>
        <w:t xml:space="preserve"> licencování operačního systému na již dříve zakoupený počítač, nelze jej využít pro nový počítač.</w:t>
      </w:r>
    </w:p>
  </w:footnote>
  <w:footnote w:id="3">
    <w:p w14:paraId="0AFCFE1D" w14:textId="77777777" w:rsidR="00314BDC" w:rsidRPr="00A71363" w:rsidRDefault="00314BDC" w:rsidP="00314BDC">
      <w:pPr>
        <w:pStyle w:val="Textpoznpodarou"/>
        <w:spacing w:after="60"/>
        <w:ind w:left="284" w:hanging="284"/>
        <w:jc w:val="both"/>
        <w:rPr>
          <w:rFonts w:ascii="Arial" w:hAnsi="Arial" w:cs="Arial"/>
        </w:rPr>
      </w:pPr>
      <w:r w:rsidRPr="00A71363">
        <w:rPr>
          <w:rStyle w:val="Znakapoznpodarou"/>
          <w:rFonts w:ascii="Arial" w:hAnsi="Arial" w:cs="Arial"/>
        </w:rPr>
        <w:footnoteRef/>
      </w:r>
      <w:r w:rsidRPr="00A71363">
        <w:rPr>
          <w:rFonts w:ascii="Arial" w:hAnsi="Arial" w:cs="Arial"/>
        </w:rPr>
        <w:t xml:space="preserve"> </w:t>
      </w:r>
      <w:r w:rsidRPr="00A71363">
        <w:rPr>
          <w:rFonts w:ascii="Arial" w:hAnsi="Arial" w:cs="Arial"/>
        </w:rPr>
        <w:tab/>
        <w:t>ŠEBESTA, M.; NOVOTNÝ, P. Zákon o zadávání veřejných zakázek Komentář. [</w:t>
      </w:r>
      <w:proofErr w:type="gramStart"/>
      <w:r w:rsidRPr="00A71363">
        <w:rPr>
          <w:rFonts w:ascii="Arial" w:hAnsi="Arial" w:cs="Arial"/>
          <w:i/>
          <w:iCs/>
        </w:rPr>
        <w:t>www.beck-online</w:t>
      </w:r>
      <w:proofErr w:type="gramEnd"/>
      <w:r w:rsidRPr="00A71363">
        <w:rPr>
          <w:rFonts w:ascii="Arial" w:hAnsi="Arial" w:cs="Arial"/>
          <w:i/>
          <w:iCs/>
        </w:rPr>
        <w:t>.cz</w:t>
      </w:r>
      <w:r w:rsidRPr="00A71363">
        <w:rPr>
          <w:rFonts w:ascii="Arial" w:hAnsi="Arial" w:cs="Arial"/>
        </w:rPr>
        <w:t>]. C. H. Beck [cit. [</w:t>
      </w:r>
      <w:r w:rsidRPr="00A71363">
        <w:rPr>
          <w:rFonts w:ascii="Arial" w:hAnsi="Arial" w:cs="Arial"/>
          <w:highlight w:val="yellow"/>
        </w:rPr>
        <w:t>DOPLNIT</w:t>
      </w:r>
      <w:r w:rsidRPr="00A71363">
        <w:rPr>
          <w:rFonts w:ascii="Arial" w:hAnsi="Arial" w:cs="Arial"/>
        </w:rPr>
        <w:t>]], s. 805.</w:t>
      </w:r>
    </w:p>
  </w:footnote>
  <w:footnote w:id="4">
    <w:p w14:paraId="26AD6711" w14:textId="77777777" w:rsidR="00314BDC" w:rsidRPr="00A71363" w:rsidRDefault="00314BDC" w:rsidP="00314BDC">
      <w:pPr>
        <w:pStyle w:val="Textpoznpodarou"/>
        <w:spacing w:after="60"/>
        <w:ind w:left="284" w:hanging="284"/>
        <w:jc w:val="both"/>
        <w:rPr>
          <w:rFonts w:ascii="Arial" w:hAnsi="Arial" w:cs="Arial"/>
        </w:rPr>
      </w:pPr>
      <w:r w:rsidRPr="00A71363">
        <w:rPr>
          <w:rStyle w:val="Znakapoznpodarou"/>
          <w:rFonts w:ascii="Arial" w:hAnsi="Arial" w:cs="Arial"/>
        </w:rPr>
        <w:footnoteRef/>
      </w:r>
      <w:r w:rsidRPr="00A71363">
        <w:rPr>
          <w:rFonts w:ascii="Arial" w:hAnsi="Arial" w:cs="Arial"/>
        </w:rPr>
        <w:t xml:space="preserve"> </w:t>
      </w:r>
      <w:r w:rsidRPr="00A71363">
        <w:rPr>
          <w:rFonts w:ascii="Arial" w:hAnsi="Arial" w:cs="Arial"/>
        </w:rPr>
        <w:tab/>
        <w:t>PODEŠVA, V; SOMMER, L. Zákon o zadávání veřejných zakázek. Zákon o registru smluv – komentář. [</w:t>
      </w:r>
      <w:r w:rsidRPr="00A71363">
        <w:rPr>
          <w:rFonts w:ascii="Arial" w:hAnsi="Arial" w:cs="Arial"/>
          <w:i/>
        </w:rPr>
        <w:t>Systém ASPI</w:t>
      </w:r>
      <w:r w:rsidRPr="00A71363">
        <w:rPr>
          <w:rFonts w:ascii="Arial" w:hAnsi="Arial" w:cs="Arial"/>
        </w:rPr>
        <w:t xml:space="preserve">]. </w:t>
      </w:r>
      <w:proofErr w:type="spellStart"/>
      <w:r w:rsidRPr="00A71363">
        <w:rPr>
          <w:rFonts w:ascii="Arial" w:hAnsi="Arial" w:cs="Arial"/>
        </w:rPr>
        <w:t>Wolters</w:t>
      </w:r>
      <w:proofErr w:type="spellEnd"/>
      <w:r w:rsidRPr="00A71363">
        <w:rPr>
          <w:rFonts w:ascii="Arial" w:hAnsi="Arial" w:cs="Arial"/>
        </w:rPr>
        <w:t xml:space="preserve"> </w:t>
      </w:r>
      <w:proofErr w:type="spellStart"/>
      <w:r w:rsidRPr="00A71363">
        <w:rPr>
          <w:rFonts w:ascii="Arial" w:hAnsi="Arial" w:cs="Arial"/>
        </w:rPr>
        <w:t>Kluwer</w:t>
      </w:r>
      <w:proofErr w:type="spellEnd"/>
      <w:r w:rsidRPr="00A71363">
        <w:rPr>
          <w:rFonts w:ascii="Arial" w:hAnsi="Arial" w:cs="Arial"/>
        </w:rPr>
        <w:t xml:space="preserve"> [cit. [</w:t>
      </w:r>
      <w:r w:rsidRPr="00A71363">
        <w:rPr>
          <w:rFonts w:ascii="Arial" w:hAnsi="Arial" w:cs="Arial"/>
          <w:highlight w:val="yellow"/>
        </w:rPr>
        <w:t>DOPLNIT</w:t>
      </w:r>
      <w:r w:rsidRPr="00A71363">
        <w:rPr>
          <w:rFonts w:ascii="Arial" w:hAnsi="Arial" w:cs="Arial"/>
        </w:rPr>
        <w:t>]]. § 39.</w:t>
      </w:r>
    </w:p>
  </w:footnote>
  <w:footnote w:id="5">
    <w:p w14:paraId="6557CA6B" w14:textId="77777777" w:rsidR="00387A52" w:rsidRPr="00A71363" w:rsidRDefault="00387A52" w:rsidP="00387A52">
      <w:pPr>
        <w:pStyle w:val="Textpoznpodarou"/>
        <w:spacing w:after="60"/>
        <w:ind w:left="284" w:hanging="284"/>
        <w:jc w:val="both"/>
        <w:rPr>
          <w:rFonts w:ascii="Arial" w:hAnsi="Arial" w:cs="Arial"/>
        </w:rPr>
      </w:pPr>
      <w:r w:rsidRPr="00A71363">
        <w:rPr>
          <w:rStyle w:val="Znakapoznpodarou"/>
          <w:rFonts w:ascii="Arial" w:hAnsi="Arial" w:cs="Arial"/>
        </w:rPr>
        <w:footnoteRef/>
      </w:r>
      <w:r w:rsidRPr="00A71363">
        <w:rPr>
          <w:rFonts w:ascii="Arial" w:hAnsi="Arial" w:cs="Arial"/>
        </w:rPr>
        <w:t xml:space="preserve"> </w:t>
      </w:r>
      <w:r w:rsidRPr="00A71363">
        <w:rPr>
          <w:rFonts w:ascii="Arial" w:hAnsi="Arial" w:cs="Arial"/>
        </w:rPr>
        <w:tab/>
        <w:t xml:space="preserve">Rozsudek Soudního dvora Evropské unie ze dne 3. 7. 2012, </w:t>
      </w:r>
      <w:proofErr w:type="spellStart"/>
      <w:r w:rsidRPr="00A71363">
        <w:rPr>
          <w:rFonts w:ascii="Arial" w:hAnsi="Arial" w:cs="Arial"/>
        </w:rPr>
        <w:t>sp</w:t>
      </w:r>
      <w:proofErr w:type="spellEnd"/>
      <w:r w:rsidRPr="00A71363">
        <w:rPr>
          <w:rFonts w:ascii="Arial" w:hAnsi="Arial" w:cs="Arial"/>
        </w:rPr>
        <w:t>. zn. C-128/11.</w:t>
      </w:r>
    </w:p>
  </w:footnote>
  <w:footnote w:id="6">
    <w:p w14:paraId="73FD6381" w14:textId="77777777" w:rsidR="008A5147" w:rsidRPr="00A71363" w:rsidRDefault="008A5147" w:rsidP="008A5147">
      <w:pPr>
        <w:pStyle w:val="Textpoznpodarou"/>
        <w:spacing w:after="60"/>
        <w:ind w:left="284" w:hanging="284"/>
        <w:jc w:val="both"/>
        <w:rPr>
          <w:rFonts w:ascii="Arial" w:hAnsi="Arial" w:cs="Arial"/>
        </w:rPr>
      </w:pPr>
      <w:r w:rsidRPr="00A71363">
        <w:rPr>
          <w:rStyle w:val="Znakapoznpodarou"/>
          <w:rFonts w:ascii="Arial" w:hAnsi="Arial" w:cs="Arial"/>
        </w:rPr>
        <w:footnoteRef/>
      </w:r>
      <w:r w:rsidRPr="00A71363">
        <w:rPr>
          <w:rFonts w:ascii="Arial" w:hAnsi="Arial" w:cs="Arial"/>
        </w:rPr>
        <w:t xml:space="preserve"> </w:t>
      </w:r>
      <w:r w:rsidRPr="00A71363">
        <w:rPr>
          <w:rFonts w:ascii="Arial" w:hAnsi="Arial" w:cs="Arial"/>
        </w:rPr>
        <w:tab/>
        <w:t>§ 1895 odst. 1 zákona č. 89/2012 Sb., občanský zákoník, ve znění pozdějších předpisů.</w:t>
      </w:r>
    </w:p>
  </w:footnote>
  <w:footnote w:id="7">
    <w:p w14:paraId="5ADF36A3" w14:textId="77777777" w:rsidR="0051090E" w:rsidRPr="00A71363" w:rsidRDefault="0051090E" w:rsidP="002173BD">
      <w:pPr>
        <w:pStyle w:val="Textpoznpodarou"/>
        <w:spacing w:after="60"/>
        <w:ind w:left="284" w:hanging="284"/>
        <w:jc w:val="both"/>
        <w:rPr>
          <w:rFonts w:ascii="Arial" w:hAnsi="Arial" w:cs="Arial"/>
        </w:rPr>
      </w:pPr>
      <w:r w:rsidRPr="00A71363">
        <w:rPr>
          <w:rStyle w:val="Znakapoznpodarou"/>
          <w:rFonts w:ascii="Arial" w:hAnsi="Arial" w:cs="Arial"/>
        </w:rPr>
        <w:footnoteRef/>
      </w:r>
      <w:r w:rsidRPr="00A71363">
        <w:rPr>
          <w:rFonts w:ascii="Arial" w:hAnsi="Arial" w:cs="Arial"/>
        </w:rPr>
        <w:t xml:space="preserve"> </w:t>
      </w:r>
      <w:r w:rsidR="002173BD" w:rsidRPr="00A71363">
        <w:rPr>
          <w:rFonts w:ascii="Arial" w:hAnsi="Arial" w:cs="Arial"/>
        </w:rPr>
        <w:tab/>
      </w:r>
      <w:r w:rsidRPr="00A71363">
        <w:rPr>
          <w:rFonts w:ascii="Arial" w:hAnsi="Arial" w:cs="Arial"/>
        </w:rPr>
        <w:t xml:space="preserve">PETROV, J; VÝTISK, M. a kol. Občanský zákoník. 2. </w:t>
      </w:r>
      <w:r w:rsidR="002173BD" w:rsidRPr="00A71363">
        <w:rPr>
          <w:rFonts w:ascii="Arial" w:hAnsi="Arial" w:cs="Arial"/>
        </w:rPr>
        <w:t>[</w:t>
      </w:r>
      <w:proofErr w:type="gramStart"/>
      <w:r w:rsidR="002173BD" w:rsidRPr="00A71363">
        <w:rPr>
          <w:rFonts w:ascii="Arial" w:hAnsi="Arial" w:cs="Arial"/>
          <w:i/>
          <w:iCs/>
        </w:rPr>
        <w:t>www.beck-online</w:t>
      </w:r>
      <w:proofErr w:type="gramEnd"/>
      <w:r w:rsidR="002173BD" w:rsidRPr="00A71363">
        <w:rPr>
          <w:rFonts w:ascii="Arial" w:hAnsi="Arial" w:cs="Arial"/>
          <w:i/>
          <w:iCs/>
        </w:rPr>
        <w:t>.cz</w:t>
      </w:r>
      <w:r w:rsidR="002173BD" w:rsidRPr="00A71363">
        <w:rPr>
          <w:rFonts w:ascii="Arial" w:hAnsi="Arial" w:cs="Arial"/>
        </w:rPr>
        <w:t>]. C. H. Beck [cit. [</w:t>
      </w:r>
      <w:r w:rsidR="002173BD" w:rsidRPr="00A71363">
        <w:rPr>
          <w:rFonts w:ascii="Arial" w:hAnsi="Arial" w:cs="Arial"/>
          <w:highlight w:val="yellow"/>
        </w:rPr>
        <w:t>DOPLNIT</w:t>
      </w:r>
      <w:r w:rsidR="002173BD" w:rsidRPr="00A71363">
        <w:rPr>
          <w:rFonts w:ascii="Arial" w:hAnsi="Arial" w:cs="Arial"/>
        </w:rPr>
        <w:t>]], § 2048.</w:t>
      </w:r>
    </w:p>
  </w:footnote>
  <w:footnote w:id="8">
    <w:p w14:paraId="403FDEE9" w14:textId="77777777" w:rsidR="00B43BBF" w:rsidRPr="00A71363" w:rsidRDefault="00B43BBF" w:rsidP="00B43BBF">
      <w:pPr>
        <w:pStyle w:val="Textpoznpodarou"/>
        <w:spacing w:after="60"/>
        <w:ind w:left="284" w:hanging="284"/>
        <w:jc w:val="both"/>
        <w:rPr>
          <w:rFonts w:ascii="Arial" w:hAnsi="Arial" w:cs="Arial"/>
        </w:rPr>
      </w:pPr>
      <w:r w:rsidRPr="00A71363">
        <w:rPr>
          <w:rStyle w:val="Znakapoznpodarou"/>
          <w:rFonts w:ascii="Arial" w:hAnsi="Arial" w:cs="Arial"/>
        </w:rPr>
        <w:footnoteRef/>
      </w:r>
      <w:r w:rsidRPr="00A71363">
        <w:rPr>
          <w:rFonts w:ascii="Arial" w:hAnsi="Arial" w:cs="Arial"/>
        </w:rPr>
        <w:t xml:space="preserve"> </w:t>
      </w:r>
      <w:r w:rsidRPr="00A71363">
        <w:rPr>
          <w:rFonts w:ascii="Arial" w:hAnsi="Arial" w:cs="Arial"/>
        </w:rPr>
        <w:tab/>
        <w:t>KRČ, R.; VANĚČEK, J. Zákon o zadávání veřejných zakázek, 1. vydání, 2022. [</w:t>
      </w:r>
      <w:proofErr w:type="gramStart"/>
      <w:r w:rsidRPr="00A71363">
        <w:rPr>
          <w:rFonts w:ascii="Arial" w:hAnsi="Arial" w:cs="Arial"/>
          <w:i/>
          <w:iCs/>
        </w:rPr>
        <w:t>www.beck-online</w:t>
      </w:r>
      <w:proofErr w:type="gramEnd"/>
      <w:r w:rsidRPr="00A71363">
        <w:rPr>
          <w:rFonts w:ascii="Arial" w:hAnsi="Arial" w:cs="Arial"/>
          <w:i/>
          <w:iCs/>
        </w:rPr>
        <w:t>.cz</w:t>
      </w:r>
      <w:r w:rsidRPr="00A71363">
        <w:rPr>
          <w:rFonts w:ascii="Arial" w:hAnsi="Arial" w:cs="Arial"/>
        </w:rPr>
        <w:t xml:space="preserve">]. C. H. Beck [cit. </w:t>
      </w:r>
      <w:r w:rsidR="00A20EA9" w:rsidRPr="00A71363">
        <w:rPr>
          <w:rFonts w:ascii="Arial" w:hAnsi="Arial" w:cs="Arial"/>
        </w:rPr>
        <w:t>[</w:t>
      </w:r>
      <w:r w:rsidR="00A20EA9" w:rsidRPr="00A71363">
        <w:rPr>
          <w:rFonts w:ascii="Arial" w:hAnsi="Arial" w:cs="Arial"/>
          <w:highlight w:val="yellow"/>
        </w:rPr>
        <w:t>DOPLNIT</w:t>
      </w:r>
      <w:r w:rsidR="00A20EA9" w:rsidRPr="00A71363">
        <w:rPr>
          <w:rFonts w:ascii="Arial" w:hAnsi="Arial" w:cs="Arial"/>
        </w:rPr>
        <w:t>]</w:t>
      </w:r>
      <w:r w:rsidRPr="00A71363">
        <w:rPr>
          <w:rFonts w:ascii="Arial" w:hAnsi="Arial" w:cs="Arial"/>
        </w:rPr>
        <w:t>]., s. 526.</w:t>
      </w:r>
    </w:p>
  </w:footnote>
  <w:footnote w:id="9">
    <w:p w14:paraId="6D57665C" w14:textId="77777777" w:rsidR="00B43BBF" w:rsidRPr="00A71363" w:rsidRDefault="00B43BBF" w:rsidP="00B43BBF">
      <w:pPr>
        <w:pStyle w:val="Textpoznpodarou"/>
        <w:spacing w:after="60"/>
        <w:ind w:left="284" w:hanging="284"/>
        <w:jc w:val="both"/>
        <w:rPr>
          <w:rFonts w:ascii="Arial" w:hAnsi="Arial" w:cs="Arial"/>
        </w:rPr>
      </w:pPr>
      <w:r w:rsidRPr="00A71363">
        <w:rPr>
          <w:rStyle w:val="Znakapoznpodarou"/>
          <w:rFonts w:ascii="Arial" w:hAnsi="Arial" w:cs="Arial"/>
        </w:rPr>
        <w:footnoteRef/>
      </w:r>
      <w:r w:rsidRPr="00A71363">
        <w:rPr>
          <w:rFonts w:ascii="Arial" w:hAnsi="Arial" w:cs="Arial"/>
        </w:rPr>
        <w:t xml:space="preserve"> </w:t>
      </w:r>
      <w:r w:rsidRPr="00A71363">
        <w:rPr>
          <w:rFonts w:ascii="Arial" w:hAnsi="Arial" w:cs="Arial"/>
        </w:rPr>
        <w:tab/>
        <w:t>Rozhodnutí Úřadu pro ochranu hospodářské soutěže ze dne 1. 9. 2021, č. j. ÚOHS-29555/2021/500/</w:t>
      </w:r>
      <w:proofErr w:type="spellStart"/>
      <w:r w:rsidRPr="00A71363">
        <w:rPr>
          <w:rFonts w:ascii="Arial" w:hAnsi="Arial" w:cs="Arial"/>
        </w:rPr>
        <w:t>ISo</w:t>
      </w:r>
      <w:proofErr w:type="spellEnd"/>
      <w:r w:rsidRPr="00A71363">
        <w:rPr>
          <w:rFonts w:ascii="Arial" w:hAnsi="Arial" w:cs="Arial"/>
        </w:rPr>
        <w:t xml:space="preserve">; obdobně Krajský soud v Brně v rozsudku ze dne 12. 3. 2020, </w:t>
      </w:r>
      <w:proofErr w:type="spellStart"/>
      <w:r w:rsidRPr="00A71363">
        <w:rPr>
          <w:rFonts w:ascii="Arial" w:hAnsi="Arial" w:cs="Arial"/>
        </w:rPr>
        <w:t>sp</w:t>
      </w:r>
      <w:proofErr w:type="spellEnd"/>
      <w:r w:rsidRPr="00A71363">
        <w:rPr>
          <w:rFonts w:ascii="Arial" w:hAnsi="Arial" w:cs="Arial"/>
        </w:rPr>
        <w:t xml:space="preserve">. zn. 62 </w:t>
      </w:r>
      <w:proofErr w:type="spellStart"/>
      <w:r w:rsidRPr="00A71363">
        <w:rPr>
          <w:rFonts w:ascii="Arial" w:hAnsi="Arial" w:cs="Arial"/>
        </w:rPr>
        <w:t>Af</w:t>
      </w:r>
      <w:proofErr w:type="spellEnd"/>
      <w:r w:rsidRPr="00A71363">
        <w:rPr>
          <w:rFonts w:ascii="Arial" w:hAnsi="Arial" w:cs="Arial"/>
        </w:rPr>
        <w:t xml:space="preserve"> 104/2018.</w:t>
      </w:r>
    </w:p>
  </w:footnote>
  <w:footnote w:id="10">
    <w:p w14:paraId="4CFECFD5" w14:textId="77777777" w:rsidR="00BB35CA" w:rsidRPr="00114623" w:rsidRDefault="00BB35CA" w:rsidP="00BB35CA">
      <w:pPr>
        <w:pStyle w:val="Textpoznpodarou"/>
        <w:spacing w:after="20"/>
        <w:ind w:left="284" w:hanging="284"/>
        <w:jc w:val="both"/>
        <w:rPr>
          <w:rFonts w:ascii="Arial" w:hAnsi="Arial" w:cs="Arial"/>
        </w:rPr>
      </w:pPr>
      <w:r w:rsidRPr="00114623">
        <w:rPr>
          <w:rStyle w:val="Znakapoznpodarou"/>
          <w:rFonts w:ascii="Arial" w:hAnsi="Arial" w:cs="Arial"/>
        </w:rPr>
        <w:footnoteRef/>
      </w:r>
      <w:r w:rsidRPr="00114623">
        <w:rPr>
          <w:rFonts w:ascii="Arial" w:hAnsi="Arial" w:cs="Arial"/>
        </w:rPr>
        <w:t xml:space="preserve"> </w:t>
      </w:r>
      <w:r w:rsidRPr="00114623">
        <w:rPr>
          <w:rFonts w:ascii="Arial" w:hAnsi="Arial" w:cs="Arial"/>
        </w:rPr>
        <w:tab/>
        <w:t>Usnesení Nejvyššího soudu ze dne 20. 10. 2016, </w:t>
      </w:r>
      <w:proofErr w:type="spellStart"/>
      <w:r w:rsidRPr="00114623">
        <w:rPr>
          <w:rFonts w:ascii="Arial" w:hAnsi="Arial" w:cs="Arial"/>
        </w:rPr>
        <w:t>sp</w:t>
      </w:r>
      <w:proofErr w:type="spellEnd"/>
      <w:r w:rsidRPr="00114623">
        <w:rPr>
          <w:rFonts w:ascii="Arial" w:hAnsi="Arial" w:cs="Arial"/>
        </w:rPr>
        <w:t xml:space="preserve">. zn. 25 </w:t>
      </w:r>
      <w:proofErr w:type="spellStart"/>
      <w:r w:rsidRPr="00114623">
        <w:rPr>
          <w:rFonts w:ascii="Arial" w:hAnsi="Arial" w:cs="Arial"/>
        </w:rPr>
        <w:t>Cdo</w:t>
      </w:r>
      <w:proofErr w:type="spellEnd"/>
      <w:r w:rsidRPr="00114623">
        <w:rPr>
          <w:rFonts w:ascii="Arial" w:hAnsi="Arial" w:cs="Arial"/>
        </w:rPr>
        <w:t xml:space="preserve"> 4626/2015.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D8800" w14:textId="77777777" w:rsidR="00504CD3" w:rsidRDefault="00504C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94357" w14:textId="77777777" w:rsidR="00504CD3" w:rsidRDefault="00504CD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36969" w14:textId="77777777" w:rsidR="00504CD3" w:rsidRDefault="00504C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D69"/>
    <w:multiLevelType w:val="hybridMultilevel"/>
    <w:tmpl w:val="1C00881C"/>
    <w:lvl w:ilvl="0" w:tplc="155E2434">
      <w:start w:val="1"/>
      <w:numFmt w:val="decimal"/>
      <w:lvlText w:val="%1)"/>
      <w:lvlJc w:val="left"/>
      <w:pPr>
        <w:ind w:left="1428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BC537A"/>
    <w:multiLevelType w:val="hybridMultilevel"/>
    <w:tmpl w:val="741CCE5A"/>
    <w:lvl w:ilvl="0" w:tplc="2E18AD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CBA5BEB"/>
    <w:multiLevelType w:val="hybridMultilevel"/>
    <w:tmpl w:val="3D8EE7F6"/>
    <w:lvl w:ilvl="0" w:tplc="2474D8B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F534A4"/>
    <w:multiLevelType w:val="hybridMultilevel"/>
    <w:tmpl w:val="5F906EB2"/>
    <w:lvl w:ilvl="0" w:tplc="5CF46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D1F12"/>
    <w:multiLevelType w:val="hybridMultilevel"/>
    <w:tmpl w:val="ACB63232"/>
    <w:lvl w:ilvl="0" w:tplc="EED06B44">
      <w:start w:val="1"/>
      <w:numFmt w:val="decimal"/>
      <w:lvlText w:val="%1)"/>
      <w:lvlJc w:val="left"/>
      <w:pPr>
        <w:ind w:left="1080" w:hanging="720"/>
      </w:pPr>
      <w:rPr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648AD"/>
    <w:multiLevelType w:val="hybridMultilevel"/>
    <w:tmpl w:val="8A6486A8"/>
    <w:lvl w:ilvl="0" w:tplc="26EA4BD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72238"/>
    <w:multiLevelType w:val="hybridMultilevel"/>
    <w:tmpl w:val="EAF673D6"/>
    <w:lvl w:ilvl="0" w:tplc="F4D424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31D19"/>
    <w:multiLevelType w:val="hybridMultilevel"/>
    <w:tmpl w:val="1D6058C8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3A033A7"/>
    <w:multiLevelType w:val="hybridMultilevel"/>
    <w:tmpl w:val="8BE670DC"/>
    <w:lvl w:ilvl="0" w:tplc="2474D8B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53328EE"/>
    <w:multiLevelType w:val="hybridMultilevel"/>
    <w:tmpl w:val="8A6486A8"/>
    <w:lvl w:ilvl="0" w:tplc="26EA4BD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C6ECA"/>
    <w:multiLevelType w:val="hybridMultilevel"/>
    <w:tmpl w:val="9BD60B5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DE120C"/>
    <w:multiLevelType w:val="hybridMultilevel"/>
    <w:tmpl w:val="380CA802"/>
    <w:lvl w:ilvl="0" w:tplc="82A6BB3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8E"/>
    <w:rsid w:val="00054FD8"/>
    <w:rsid w:val="00083D61"/>
    <w:rsid w:val="000C1493"/>
    <w:rsid w:val="000E295F"/>
    <w:rsid w:val="000F528A"/>
    <w:rsid w:val="001371B7"/>
    <w:rsid w:val="00154C35"/>
    <w:rsid w:val="001E4A2D"/>
    <w:rsid w:val="001F6926"/>
    <w:rsid w:val="002173BD"/>
    <w:rsid w:val="002570F2"/>
    <w:rsid w:val="0027308F"/>
    <w:rsid w:val="002B1140"/>
    <w:rsid w:val="002D32BC"/>
    <w:rsid w:val="002D71F9"/>
    <w:rsid w:val="002E1BAD"/>
    <w:rsid w:val="002E6B5C"/>
    <w:rsid w:val="00311E74"/>
    <w:rsid w:val="0031314E"/>
    <w:rsid w:val="00314BDC"/>
    <w:rsid w:val="003262AB"/>
    <w:rsid w:val="003348C8"/>
    <w:rsid w:val="00336699"/>
    <w:rsid w:val="00337BA7"/>
    <w:rsid w:val="0034180F"/>
    <w:rsid w:val="00377B62"/>
    <w:rsid w:val="00385BD5"/>
    <w:rsid w:val="00387A52"/>
    <w:rsid w:val="003B3AF3"/>
    <w:rsid w:val="003C66B4"/>
    <w:rsid w:val="0042763C"/>
    <w:rsid w:val="00474372"/>
    <w:rsid w:val="004E1C87"/>
    <w:rsid w:val="004E3A0E"/>
    <w:rsid w:val="00504CD3"/>
    <w:rsid w:val="0051090E"/>
    <w:rsid w:val="00513448"/>
    <w:rsid w:val="0052258E"/>
    <w:rsid w:val="00530F52"/>
    <w:rsid w:val="00547BD7"/>
    <w:rsid w:val="00576D6F"/>
    <w:rsid w:val="005870BB"/>
    <w:rsid w:val="005903FF"/>
    <w:rsid w:val="005A648E"/>
    <w:rsid w:val="005E2CDE"/>
    <w:rsid w:val="005F79F7"/>
    <w:rsid w:val="00646297"/>
    <w:rsid w:val="006C156F"/>
    <w:rsid w:val="0077515E"/>
    <w:rsid w:val="00782100"/>
    <w:rsid w:val="007A0282"/>
    <w:rsid w:val="007A6CD2"/>
    <w:rsid w:val="007B2DD9"/>
    <w:rsid w:val="008500B5"/>
    <w:rsid w:val="00857967"/>
    <w:rsid w:val="00863953"/>
    <w:rsid w:val="0087120A"/>
    <w:rsid w:val="00892C81"/>
    <w:rsid w:val="008A5147"/>
    <w:rsid w:val="0092091D"/>
    <w:rsid w:val="00952ACE"/>
    <w:rsid w:val="009A191F"/>
    <w:rsid w:val="009F4B52"/>
    <w:rsid w:val="00A20EA9"/>
    <w:rsid w:val="00A60916"/>
    <w:rsid w:val="00A65C44"/>
    <w:rsid w:val="00A71363"/>
    <w:rsid w:val="00A97755"/>
    <w:rsid w:val="00AA1BCD"/>
    <w:rsid w:val="00AA64FD"/>
    <w:rsid w:val="00AD6705"/>
    <w:rsid w:val="00AE19F8"/>
    <w:rsid w:val="00B00B77"/>
    <w:rsid w:val="00B276D9"/>
    <w:rsid w:val="00B43BBF"/>
    <w:rsid w:val="00B539FE"/>
    <w:rsid w:val="00B570C5"/>
    <w:rsid w:val="00BB35CA"/>
    <w:rsid w:val="00BC284F"/>
    <w:rsid w:val="00C452FE"/>
    <w:rsid w:val="00C73565"/>
    <w:rsid w:val="00CB64DA"/>
    <w:rsid w:val="00CD3305"/>
    <w:rsid w:val="00CE6290"/>
    <w:rsid w:val="00D10957"/>
    <w:rsid w:val="00D11449"/>
    <w:rsid w:val="00D3723E"/>
    <w:rsid w:val="00D66D6B"/>
    <w:rsid w:val="00D67898"/>
    <w:rsid w:val="00DA3E10"/>
    <w:rsid w:val="00DB541F"/>
    <w:rsid w:val="00DB5F0D"/>
    <w:rsid w:val="00DC4BB9"/>
    <w:rsid w:val="00DE485B"/>
    <w:rsid w:val="00E1507A"/>
    <w:rsid w:val="00E313C0"/>
    <w:rsid w:val="00E46431"/>
    <w:rsid w:val="00E727D6"/>
    <w:rsid w:val="00E74B4B"/>
    <w:rsid w:val="00E8224E"/>
    <w:rsid w:val="00E84485"/>
    <w:rsid w:val="00EB259B"/>
    <w:rsid w:val="00EC3714"/>
    <w:rsid w:val="00EC7F75"/>
    <w:rsid w:val="00F073B0"/>
    <w:rsid w:val="00F437AF"/>
    <w:rsid w:val="00F62578"/>
    <w:rsid w:val="00F7424E"/>
    <w:rsid w:val="00F8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24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6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276D9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276D9"/>
  </w:style>
  <w:style w:type="character" w:customStyle="1" w:styleId="TextpoznpodarouChar">
    <w:name w:val="Text pozn. pod čarou Char"/>
    <w:basedOn w:val="Standardnpsmoodstavce"/>
    <w:link w:val="Textpoznpodarou"/>
    <w:semiHidden/>
    <w:rsid w:val="00B276D9"/>
    <w:rPr>
      <w:rFonts w:ascii="Times New Roman" w:eastAsia="Times New Roman" w:hAnsi="Times New Roman" w:cs="Times New Roman"/>
      <w:color w:val="000000"/>
      <w:lang w:eastAsia="zh-CN"/>
    </w:rPr>
  </w:style>
  <w:style w:type="paragraph" w:styleId="Odstavecseseznamem">
    <w:name w:val="List Paragraph"/>
    <w:basedOn w:val="Normln"/>
    <w:uiPriority w:val="34"/>
    <w:qFormat/>
    <w:rsid w:val="00B276D9"/>
    <w:pPr>
      <w:ind w:left="720"/>
    </w:pPr>
    <w:rPr>
      <w:rFonts w:ascii="Calibri" w:eastAsia="Calibri" w:hAnsi="Calibri"/>
      <w:color w:val="auto"/>
      <w:sz w:val="22"/>
      <w:szCs w:val="22"/>
    </w:rPr>
  </w:style>
  <w:style w:type="paragraph" w:customStyle="1" w:styleId="Default">
    <w:name w:val="Default"/>
    <w:rsid w:val="00B276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276D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276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6D9"/>
    <w:rPr>
      <w:rFonts w:ascii="Times New Roman" w:eastAsia="Times New Roman" w:hAnsi="Times New Roman" w:cs="Times New Roman"/>
      <w:color w:val="00000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276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6D9"/>
    <w:rPr>
      <w:rFonts w:ascii="Times New Roman" w:eastAsia="Times New Roman" w:hAnsi="Times New Roman" w:cs="Times New Roman"/>
      <w:color w:val="00000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B27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76D9"/>
    <w:pPr>
      <w:suppressAutoHyphens w:val="0"/>
      <w:spacing w:after="20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76D9"/>
    <w:rPr>
      <w:rFonts w:ascii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6D9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0F52"/>
    <w:pPr>
      <w:suppressAutoHyphens/>
      <w:spacing w:after="0"/>
    </w:pPr>
    <w:rPr>
      <w:rFonts w:ascii="Times New Roman" w:eastAsia="Times New Roman" w:hAnsi="Times New Roman" w:cs="Times New Roman"/>
      <w:b/>
      <w:bCs/>
      <w:color w:val="000000"/>
      <w:lang w:eastAsia="zh-C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0F52"/>
    <w:rPr>
      <w:rFonts w:ascii="Times New Roman" w:eastAsia="Times New Roman" w:hAnsi="Times New Roman" w:cs="Times New Roman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6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276D9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276D9"/>
  </w:style>
  <w:style w:type="character" w:customStyle="1" w:styleId="TextpoznpodarouChar">
    <w:name w:val="Text pozn. pod čarou Char"/>
    <w:basedOn w:val="Standardnpsmoodstavce"/>
    <w:link w:val="Textpoznpodarou"/>
    <w:semiHidden/>
    <w:rsid w:val="00B276D9"/>
    <w:rPr>
      <w:rFonts w:ascii="Times New Roman" w:eastAsia="Times New Roman" w:hAnsi="Times New Roman" w:cs="Times New Roman"/>
      <w:color w:val="000000"/>
      <w:lang w:eastAsia="zh-CN"/>
    </w:rPr>
  </w:style>
  <w:style w:type="paragraph" w:styleId="Odstavecseseznamem">
    <w:name w:val="List Paragraph"/>
    <w:basedOn w:val="Normln"/>
    <w:uiPriority w:val="34"/>
    <w:qFormat/>
    <w:rsid w:val="00B276D9"/>
    <w:pPr>
      <w:ind w:left="720"/>
    </w:pPr>
    <w:rPr>
      <w:rFonts w:ascii="Calibri" w:eastAsia="Calibri" w:hAnsi="Calibri"/>
      <w:color w:val="auto"/>
      <w:sz w:val="22"/>
      <w:szCs w:val="22"/>
    </w:rPr>
  </w:style>
  <w:style w:type="paragraph" w:customStyle="1" w:styleId="Default">
    <w:name w:val="Default"/>
    <w:rsid w:val="00B276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276D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276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6D9"/>
    <w:rPr>
      <w:rFonts w:ascii="Times New Roman" w:eastAsia="Times New Roman" w:hAnsi="Times New Roman" w:cs="Times New Roman"/>
      <w:color w:val="00000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276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6D9"/>
    <w:rPr>
      <w:rFonts w:ascii="Times New Roman" w:eastAsia="Times New Roman" w:hAnsi="Times New Roman" w:cs="Times New Roman"/>
      <w:color w:val="00000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B27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76D9"/>
    <w:pPr>
      <w:suppressAutoHyphens w:val="0"/>
      <w:spacing w:after="20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76D9"/>
    <w:rPr>
      <w:rFonts w:ascii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6D9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0F52"/>
    <w:pPr>
      <w:suppressAutoHyphens/>
      <w:spacing w:after="0"/>
    </w:pPr>
    <w:rPr>
      <w:rFonts w:ascii="Times New Roman" w:eastAsia="Times New Roman" w:hAnsi="Times New Roman" w:cs="Times New Roman"/>
      <w:b/>
      <w:bCs/>
      <w:color w:val="000000"/>
      <w:lang w:eastAsia="zh-C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0F52"/>
    <w:rPr>
      <w:rFonts w:ascii="Times New Roman" w:eastAsia="Times New Roman" w:hAnsi="Times New Roman" w:cs="Times New Roman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188">
          <w:marLeft w:val="375"/>
          <w:marRight w:val="37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4B5A-6E6C-43C0-AB77-E4F4465B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3286</Words>
  <Characters>19394</Characters>
  <Application>Microsoft Office Word</Application>
  <DocSecurity>0</DocSecurity>
  <Lines>161</Lines>
  <Paragraphs>45</Paragraphs>
  <ScaleCrop>false</ScaleCrop>
  <Company/>
  <LinksUpToDate>false</LinksUpToDate>
  <CharactersWithSpaces>22635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2023-04-11T10:01:00Z</dcterms:created>
  <dcterms:modified xsi:type="dcterms:W3CDTF">2023-04-11T10:01:00Z</dcterms:modified>
</cp:coreProperties>
</file>